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B962" w14:textId="77777777" w:rsidR="0070168C" w:rsidRDefault="0070168C" w:rsidP="00E8727F">
      <w:pPr>
        <w:rPr>
          <w:lang w:val="en-AU"/>
        </w:rPr>
      </w:pPr>
    </w:p>
    <w:p w14:paraId="6081C4F5" w14:textId="77777777" w:rsidR="0070168C" w:rsidRDefault="0070168C" w:rsidP="00E8727F">
      <w:pPr>
        <w:rPr>
          <w:lang w:val="en-AU"/>
        </w:rPr>
      </w:pPr>
    </w:p>
    <w:p w14:paraId="6D6DDB78" w14:textId="77777777" w:rsidR="0070168C" w:rsidRDefault="0070168C" w:rsidP="00E8727F">
      <w:pPr>
        <w:rPr>
          <w:lang w:val="en-AU"/>
        </w:rPr>
      </w:pPr>
    </w:p>
    <w:p w14:paraId="2A897D16" w14:textId="0747F016" w:rsidR="0060364E" w:rsidRPr="0060364E" w:rsidRDefault="0060364E" w:rsidP="00EC68E0">
      <w:pPr>
        <w:pStyle w:val="Heading1"/>
        <w:rPr>
          <w:bCs/>
        </w:rPr>
      </w:pPr>
      <w:r w:rsidRPr="0060364E">
        <w:t>20</w:t>
      </w:r>
      <w:r w:rsidR="00CC32B6">
        <w:t>2</w:t>
      </w:r>
      <w:r w:rsidR="005E1FF9">
        <w:t>2</w:t>
      </w:r>
      <w:r w:rsidR="00CC32B6">
        <w:t xml:space="preserve"> Parkville College Child Safety Code of Conduct</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77907D72" w14:textId="77777777" w:rsidR="00AD5A7A" w:rsidRPr="007E0962" w:rsidRDefault="00AD5A7A" w:rsidP="007E0962">
          <w:pPr>
            <w:pStyle w:val="TOCHeading"/>
          </w:pPr>
        </w:p>
        <w:p w14:paraId="37B02461" w14:textId="20DFD22A" w:rsidR="002A7901" w:rsidRDefault="00EC68E0">
          <w:pPr>
            <w:pStyle w:val="TOC2"/>
            <w:rPr>
              <w:rFonts w:eastAsiaTheme="minorEastAsia"/>
              <w:bCs w:val="0"/>
              <w:noProof/>
              <w:sz w:val="22"/>
              <w:lang w:val="en-AU" w:eastAsia="en-AU"/>
            </w:rPr>
          </w:pPr>
          <w:r>
            <w:rPr>
              <w:bCs w:val="0"/>
              <w:i/>
            </w:rPr>
            <w:fldChar w:fldCharType="begin"/>
          </w:r>
          <w:r>
            <w:rPr>
              <w:bCs w:val="0"/>
              <w:i/>
            </w:rPr>
            <w:instrText xml:space="preserve"> TOC \o "2-3" \h \z </w:instrText>
          </w:r>
          <w:r>
            <w:rPr>
              <w:bCs w:val="0"/>
              <w:i/>
            </w:rPr>
            <w:fldChar w:fldCharType="separate"/>
          </w:r>
          <w:hyperlink w:anchor="_Toc88142192" w:history="1">
            <w:r w:rsidR="002A7901" w:rsidRPr="006D5E4A">
              <w:rPr>
                <w:rStyle w:val="Hyperlink"/>
                <w:noProof/>
              </w:rPr>
              <w:t>Statement of Commitment to Child Safety</w:t>
            </w:r>
            <w:r w:rsidR="002A7901">
              <w:rPr>
                <w:noProof/>
                <w:webHidden/>
              </w:rPr>
              <w:tab/>
            </w:r>
            <w:r w:rsidR="002A7901">
              <w:rPr>
                <w:noProof/>
                <w:webHidden/>
              </w:rPr>
              <w:fldChar w:fldCharType="begin"/>
            </w:r>
            <w:r w:rsidR="002A7901">
              <w:rPr>
                <w:noProof/>
                <w:webHidden/>
              </w:rPr>
              <w:instrText xml:space="preserve"> PAGEREF _Toc88142192 \h </w:instrText>
            </w:r>
            <w:r w:rsidR="002A7901">
              <w:rPr>
                <w:noProof/>
                <w:webHidden/>
              </w:rPr>
            </w:r>
            <w:r w:rsidR="002A7901">
              <w:rPr>
                <w:noProof/>
                <w:webHidden/>
              </w:rPr>
              <w:fldChar w:fldCharType="separate"/>
            </w:r>
            <w:r w:rsidR="002A7901">
              <w:rPr>
                <w:noProof/>
                <w:webHidden/>
              </w:rPr>
              <w:t>2</w:t>
            </w:r>
            <w:r w:rsidR="002A7901">
              <w:rPr>
                <w:noProof/>
                <w:webHidden/>
              </w:rPr>
              <w:fldChar w:fldCharType="end"/>
            </w:r>
          </w:hyperlink>
        </w:p>
        <w:p w14:paraId="7B706458" w14:textId="317350B8" w:rsidR="002A7901" w:rsidRDefault="002E4171">
          <w:pPr>
            <w:pStyle w:val="TOC3"/>
            <w:rPr>
              <w:rFonts w:eastAsiaTheme="minorEastAsia"/>
              <w:noProof/>
              <w:sz w:val="22"/>
              <w:szCs w:val="22"/>
              <w:lang w:val="en-AU" w:eastAsia="en-AU"/>
            </w:rPr>
          </w:pPr>
          <w:hyperlink w:anchor="_Toc88142193" w:history="1">
            <w:r w:rsidR="002A7901" w:rsidRPr="006D5E4A">
              <w:rPr>
                <w:rStyle w:val="Hyperlink"/>
                <w:noProof/>
              </w:rPr>
              <w:t>Policy Statement</w:t>
            </w:r>
            <w:r w:rsidR="002A7901">
              <w:rPr>
                <w:noProof/>
                <w:webHidden/>
              </w:rPr>
              <w:tab/>
            </w:r>
            <w:r w:rsidR="002A7901">
              <w:rPr>
                <w:noProof/>
                <w:webHidden/>
              </w:rPr>
              <w:fldChar w:fldCharType="begin"/>
            </w:r>
            <w:r w:rsidR="002A7901">
              <w:rPr>
                <w:noProof/>
                <w:webHidden/>
              </w:rPr>
              <w:instrText xml:space="preserve"> PAGEREF _Toc88142193 \h </w:instrText>
            </w:r>
            <w:r w:rsidR="002A7901">
              <w:rPr>
                <w:noProof/>
                <w:webHidden/>
              </w:rPr>
            </w:r>
            <w:r w:rsidR="002A7901">
              <w:rPr>
                <w:noProof/>
                <w:webHidden/>
              </w:rPr>
              <w:fldChar w:fldCharType="separate"/>
            </w:r>
            <w:r w:rsidR="002A7901">
              <w:rPr>
                <w:noProof/>
                <w:webHidden/>
              </w:rPr>
              <w:t>2</w:t>
            </w:r>
            <w:r w:rsidR="002A7901">
              <w:rPr>
                <w:noProof/>
                <w:webHidden/>
              </w:rPr>
              <w:fldChar w:fldCharType="end"/>
            </w:r>
          </w:hyperlink>
        </w:p>
        <w:p w14:paraId="21C66C45" w14:textId="7C04F33F" w:rsidR="002A7901" w:rsidRDefault="002E4171">
          <w:pPr>
            <w:pStyle w:val="TOC3"/>
            <w:rPr>
              <w:rFonts w:eastAsiaTheme="minorEastAsia"/>
              <w:noProof/>
              <w:sz w:val="22"/>
              <w:szCs w:val="22"/>
              <w:lang w:val="en-AU" w:eastAsia="en-AU"/>
            </w:rPr>
          </w:pPr>
          <w:hyperlink w:anchor="_Toc88142194" w:history="1">
            <w:r w:rsidR="002A7901" w:rsidRPr="006D5E4A">
              <w:rPr>
                <w:rStyle w:val="Hyperlink"/>
                <w:noProof/>
              </w:rPr>
              <w:t>Guidelines</w:t>
            </w:r>
            <w:r w:rsidR="002A7901">
              <w:rPr>
                <w:noProof/>
                <w:webHidden/>
              </w:rPr>
              <w:tab/>
            </w:r>
            <w:r w:rsidR="002A7901">
              <w:rPr>
                <w:noProof/>
                <w:webHidden/>
              </w:rPr>
              <w:fldChar w:fldCharType="begin"/>
            </w:r>
            <w:r w:rsidR="002A7901">
              <w:rPr>
                <w:noProof/>
                <w:webHidden/>
              </w:rPr>
              <w:instrText xml:space="preserve"> PAGEREF _Toc88142194 \h </w:instrText>
            </w:r>
            <w:r w:rsidR="002A7901">
              <w:rPr>
                <w:noProof/>
                <w:webHidden/>
              </w:rPr>
            </w:r>
            <w:r w:rsidR="002A7901">
              <w:rPr>
                <w:noProof/>
                <w:webHidden/>
              </w:rPr>
              <w:fldChar w:fldCharType="separate"/>
            </w:r>
            <w:r w:rsidR="002A7901">
              <w:rPr>
                <w:noProof/>
                <w:webHidden/>
              </w:rPr>
              <w:t>2</w:t>
            </w:r>
            <w:r w:rsidR="002A7901">
              <w:rPr>
                <w:noProof/>
                <w:webHidden/>
              </w:rPr>
              <w:fldChar w:fldCharType="end"/>
            </w:r>
          </w:hyperlink>
        </w:p>
        <w:p w14:paraId="543466E9" w14:textId="2295196B" w:rsidR="002A7901" w:rsidRDefault="002E4171">
          <w:pPr>
            <w:pStyle w:val="TOC3"/>
            <w:rPr>
              <w:rFonts w:eastAsiaTheme="minorEastAsia"/>
              <w:noProof/>
              <w:sz w:val="22"/>
              <w:szCs w:val="22"/>
              <w:lang w:val="en-AU" w:eastAsia="en-AU"/>
            </w:rPr>
          </w:pPr>
          <w:hyperlink w:anchor="_Toc88142195" w:history="1">
            <w:r w:rsidR="002A7901" w:rsidRPr="006D5E4A">
              <w:rPr>
                <w:rStyle w:val="Hyperlink"/>
                <w:noProof/>
              </w:rPr>
              <w:t>Relevant Legislation &amp; Documents</w:t>
            </w:r>
            <w:r w:rsidR="002A7901">
              <w:rPr>
                <w:noProof/>
                <w:webHidden/>
              </w:rPr>
              <w:tab/>
            </w:r>
            <w:r w:rsidR="002A7901">
              <w:rPr>
                <w:noProof/>
                <w:webHidden/>
              </w:rPr>
              <w:fldChar w:fldCharType="begin"/>
            </w:r>
            <w:r w:rsidR="002A7901">
              <w:rPr>
                <w:noProof/>
                <w:webHidden/>
              </w:rPr>
              <w:instrText xml:space="preserve"> PAGEREF _Toc88142195 \h </w:instrText>
            </w:r>
            <w:r w:rsidR="002A7901">
              <w:rPr>
                <w:noProof/>
                <w:webHidden/>
              </w:rPr>
            </w:r>
            <w:r w:rsidR="002A7901">
              <w:rPr>
                <w:noProof/>
                <w:webHidden/>
              </w:rPr>
              <w:fldChar w:fldCharType="separate"/>
            </w:r>
            <w:r w:rsidR="002A7901">
              <w:rPr>
                <w:noProof/>
                <w:webHidden/>
              </w:rPr>
              <w:t>6</w:t>
            </w:r>
            <w:r w:rsidR="002A7901">
              <w:rPr>
                <w:noProof/>
                <w:webHidden/>
              </w:rPr>
              <w:fldChar w:fldCharType="end"/>
            </w:r>
          </w:hyperlink>
        </w:p>
        <w:p w14:paraId="795CDC4C" w14:textId="2AC1A6A2" w:rsidR="002A7901" w:rsidRDefault="002E4171">
          <w:pPr>
            <w:pStyle w:val="TOC2"/>
            <w:rPr>
              <w:rFonts w:eastAsiaTheme="minorEastAsia"/>
              <w:bCs w:val="0"/>
              <w:noProof/>
              <w:sz w:val="22"/>
              <w:lang w:val="en-AU" w:eastAsia="en-AU"/>
            </w:rPr>
          </w:pPr>
          <w:hyperlink w:anchor="_Toc88142196" w:history="1">
            <w:r w:rsidR="002A7901" w:rsidRPr="006D5E4A">
              <w:rPr>
                <w:rStyle w:val="Hyperlink"/>
                <w:noProof/>
              </w:rPr>
              <w:t>Review period</w:t>
            </w:r>
            <w:r w:rsidR="002A7901">
              <w:rPr>
                <w:noProof/>
                <w:webHidden/>
              </w:rPr>
              <w:tab/>
            </w:r>
            <w:r w:rsidR="002A7901">
              <w:rPr>
                <w:noProof/>
                <w:webHidden/>
              </w:rPr>
              <w:fldChar w:fldCharType="begin"/>
            </w:r>
            <w:r w:rsidR="002A7901">
              <w:rPr>
                <w:noProof/>
                <w:webHidden/>
              </w:rPr>
              <w:instrText xml:space="preserve"> PAGEREF _Toc88142196 \h </w:instrText>
            </w:r>
            <w:r w:rsidR="002A7901">
              <w:rPr>
                <w:noProof/>
                <w:webHidden/>
              </w:rPr>
            </w:r>
            <w:r w:rsidR="002A7901">
              <w:rPr>
                <w:noProof/>
                <w:webHidden/>
              </w:rPr>
              <w:fldChar w:fldCharType="separate"/>
            </w:r>
            <w:r w:rsidR="002A7901">
              <w:rPr>
                <w:noProof/>
                <w:webHidden/>
              </w:rPr>
              <w:t>6</w:t>
            </w:r>
            <w:r w:rsidR="002A7901">
              <w:rPr>
                <w:noProof/>
                <w:webHidden/>
              </w:rPr>
              <w:fldChar w:fldCharType="end"/>
            </w:r>
          </w:hyperlink>
        </w:p>
        <w:p w14:paraId="1C502BB9" w14:textId="7A7C3FC6" w:rsidR="00AD5A7A" w:rsidRDefault="00EC68E0">
          <w:r>
            <w:rPr>
              <w:bCs/>
              <w:i/>
            </w:rPr>
            <w:fldChar w:fldCharType="end"/>
          </w:r>
        </w:p>
      </w:sdtContent>
    </w:sdt>
    <w:p w14:paraId="4AAA22D6" w14:textId="77777777" w:rsidR="00660648" w:rsidRDefault="00660648" w:rsidP="00660648">
      <w:pPr>
        <w:rPr>
          <w:rFonts w:ascii="Myanmar MN" w:hAnsi="Myanmar MN"/>
          <w:bCs/>
          <w:sz w:val="22"/>
        </w:rPr>
      </w:pPr>
    </w:p>
    <w:p w14:paraId="3D86BC7E" w14:textId="55019669" w:rsidR="0060364E" w:rsidRPr="00C14A6B" w:rsidRDefault="00AD5A7A" w:rsidP="00C14A6B">
      <w:pPr>
        <w:rPr>
          <w:rFonts w:ascii="Rockwell" w:eastAsiaTheme="majorEastAsia" w:hAnsi="Rockwell" w:cstheme="majorBidi"/>
          <w:color w:val="006FA3" w:themeColor="accent1" w:themeShade="BF"/>
          <w:sz w:val="26"/>
          <w:szCs w:val="26"/>
        </w:rPr>
      </w:pPr>
      <w:r>
        <w:br w:type="page"/>
      </w:r>
    </w:p>
    <w:p w14:paraId="5C4D4607" w14:textId="77777777" w:rsidR="00C14A6B" w:rsidRPr="00C14A6B" w:rsidRDefault="00C14A6B" w:rsidP="00C14A6B">
      <w:pPr>
        <w:pStyle w:val="Heading2"/>
      </w:pPr>
      <w:bookmarkStart w:id="0" w:name="_Toc88142192"/>
      <w:r w:rsidRPr="00C14A6B">
        <w:lastRenderedPageBreak/>
        <w:t>Statement of Commitment to Child Safety</w:t>
      </w:r>
      <w:bookmarkEnd w:id="0"/>
    </w:p>
    <w:p w14:paraId="1B847068" w14:textId="42DAA203" w:rsidR="00C14A6B" w:rsidRPr="00C14A6B" w:rsidRDefault="00C14A6B" w:rsidP="00C14A6B">
      <w:pPr>
        <w:rPr>
          <w:lang w:val="en-AU"/>
        </w:rPr>
      </w:pPr>
      <w:r w:rsidRPr="00C14A6B">
        <w:t xml:space="preserve">Parkville College </w:t>
      </w:r>
      <w:r w:rsidR="00BA44AA">
        <w:t xml:space="preserve">staff </w:t>
      </w:r>
      <w:r w:rsidRPr="00C14A6B">
        <w:t xml:space="preserve">are committed to providing a child safe culture that encourages and supports the rights of </w:t>
      </w:r>
      <w:r w:rsidR="00BA44AA">
        <w:t>children</w:t>
      </w:r>
      <w:r w:rsidRPr="00C14A6B">
        <w:t xml:space="preserve"> throughout the school community. The school’s commitment to the safety and wellbeing of children and young people</w:t>
      </w:r>
      <w:r w:rsidR="00C838CC">
        <w:t xml:space="preserve"> </w:t>
      </w:r>
      <w:r w:rsidRPr="00C14A6B">
        <w:t xml:space="preserve">is reflected in our school values and pedagogical model and informs the school’s policies. It is the responsibility of all Parkville College employees, volunteers, children, </w:t>
      </w:r>
      <w:proofErr w:type="gramStart"/>
      <w:r w:rsidRPr="00C14A6B">
        <w:t>families</w:t>
      </w:r>
      <w:proofErr w:type="gramEnd"/>
      <w:r w:rsidRPr="00C14A6B">
        <w:t xml:space="preserve"> and the school community to ensure the safety and wellbeing of students at Parkville College. </w:t>
      </w:r>
      <w:r w:rsidRPr="00C14A6B">
        <w:rPr>
          <w:lang w:val="en-AU"/>
        </w:rPr>
        <w:t xml:space="preserve">Parkville College prioritises the safety and best interests of the children and young people within our school community. While Department of Justice and Community Safety (DJCS) and Department of </w:t>
      </w:r>
      <w:r w:rsidR="00BA44AA">
        <w:rPr>
          <w:lang w:val="en-AU"/>
        </w:rPr>
        <w:t>Families, Fairness, and Housing (DFFH)</w:t>
      </w:r>
      <w:r w:rsidRPr="00C14A6B">
        <w:rPr>
          <w:lang w:val="en-AU"/>
        </w:rPr>
        <w:t xml:space="preserve"> have the statutory </w:t>
      </w:r>
      <w:r w:rsidR="00BA44AA">
        <w:rPr>
          <w:lang w:val="en-AU"/>
        </w:rPr>
        <w:t>d</w:t>
      </w:r>
      <w:r w:rsidRPr="00C14A6B">
        <w:rPr>
          <w:lang w:val="en-AU"/>
        </w:rPr>
        <w:t xml:space="preserve">uty of </w:t>
      </w:r>
      <w:r w:rsidR="00BA44AA">
        <w:rPr>
          <w:lang w:val="en-AU"/>
        </w:rPr>
        <w:t>c</w:t>
      </w:r>
      <w:r w:rsidRPr="00C14A6B">
        <w:rPr>
          <w:lang w:val="en-AU"/>
        </w:rPr>
        <w:t xml:space="preserve">are for the school’s student population, Parkville College uphold the duty of care and best interest principles outlined within the CYF Act 2006. </w:t>
      </w:r>
      <w:r w:rsidR="00BA44AA">
        <w:rPr>
          <w:lang w:val="en-AU"/>
        </w:rPr>
        <w:t>Our cooperative</w:t>
      </w:r>
      <w:r w:rsidRPr="00C14A6B">
        <w:rPr>
          <w:lang w:val="en-AU"/>
        </w:rPr>
        <w:t xml:space="preserve"> practice alongside DJCS and </w:t>
      </w:r>
      <w:r w:rsidR="006B2929">
        <w:rPr>
          <w:lang w:val="en-AU"/>
        </w:rPr>
        <w:t>DFFH</w:t>
      </w:r>
      <w:r w:rsidRPr="00C14A6B">
        <w:rPr>
          <w:lang w:val="en-AU"/>
        </w:rPr>
        <w:t xml:space="preserve"> staff focuses on the best interest</w:t>
      </w:r>
      <w:r w:rsidR="00BA44AA">
        <w:rPr>
          <w:lang w:val="en-AU"/>
        </w:rPr>
        <w:t>s</w:t>
      </w:r>
      <w:r w:rsidRPr="00C14A6B">
        <w:rPr>
          <w:lang w:val="en-AU"/>
        </w:rPr>
        <w:t xml:space="preserve"> </w:t>
      </w:r>
      <w:r w:rsidR="00BA44AA">
        <w:rPr>
          <w:lang w:val="en-AU"/>
        </w:rPr>
        <w:t>of the</w:t>
      </w:r>
      <w:r w:rsidRPr="00C14A6B">
        <w:rPr>
          <w:lang w:val="en-AU"/>
        </w:rPr>
        <w:t xml:space="preserve"> student </w:t>
      </w:r>
      <w:proofErr w:type="gramStart"/>
      <w:r w:rsidRPr="00C14A6B">
        <w:rPr>
          <w:lang w:val="en-AU"/>
        </w:rPr>
        <w:t>population, and</w:t>
      </w:r>
      <w:proofErr w:type="gramEnd"/>
      <w:r w:rsidRPr="00C14A6B">
        <w:rPr>
          <w:lang w:val="en-AU"/>
        </w:rPr>
        <w:t xml:space="preserve"> minimises </w:t>
      </w:r>
      <w:r w:rsidR="00BA44AA">
        <w:rPr>
          <w:lang w:val="en-AU"/>
        </w:rPr>
        <w:t xml:space="preserve">the </w:t>
      </w:r>
      <w:r w:rsidRPr="00C14A6B">
        <w:rPr>
          <w:lang w:val="en-AU"/>
        </w:rPr>
        <w:t>risk of harm and maint</w:t>
      </w:r>
      <w:r w:rsidR="00BA44AA">
        <w:rPr>
          <w:lang w:val="en-AU"/>
        </w:rPr>
        <w:t>ains</w:t>
      </w:r>
      <w:r w:rsidRPr="00C14A6B">
        <w:rPr>
          <w:lang w:val="en-AU"/>
        </w:rPr>
        <w:t xml:space="preserve"> their safety during their enrolment with the school.</w:t>
      </w:r>
    </w:p>
    <w:p w14:paraId="42D914E8" w14:textId="77777777" w:rsidR="00C14A6B" w:rsidRPr="00C14A6B" w:rsidRDefault="00C14A6B" w:rsidP="00CC32B6">
      <w:pPr>
        <w:ind w:left="1080"/>
        <w:rPr>
          <w:lang w:val="en-AU"/>
        </w:rPr>
      </w:pPr>
    </w:p>
    <w:p w14:paraId="1D03DAEE" w14:textId="72FDFBB9" w:rsidR="00C14A6B" w:rsidRPr="00C14A6B" w:rsidRDefault="00C14A6B" w:rsidP="00C14A6B">
      <w:pPr>
        <w:rPr>
          <w:lang w:val="en-AU"/>
        </w:rPr>
      </w:pPr>
      <w:r w:rsidRPr="00C14A6B">
        <w:rPr>
          <w:lang w:val="en-AU"/>
        </w:rPr>
        <w:t>At Parkville College, students are supported by a team of dedicated teaching and support staff who work towards the full development of the human personality through the delivery of educational programs and school curriculum. We assist our students to develop holistically whilst they are in custodia</w:t>
      </w:r>
      <w:r w:rsidR="00BA44AA">
        <w:rPr>
          <w:lang w:val="en-AU"/>
        </w:rPr>
        <w:t>l</w:t>
      </w:r>
      <w:r w:rsidRPr="00C14A6B">
        <w:rPr>
          <w:lang w:val="en-AU"/>
        </w:rPr>
        <w:t xml:space="preserve"> care to enable them to better reintegrate into the wider community. </w:t>
      </w:r>
    </w:p>
    <w:p w14:paraId="37F29D5A" w14:textId="77777777" w:rsidR="00C14A6B" w:rsidRPr="00C14A6B" w:rsidRDefault="00C14A6B" w:rsidP="00C14A6B">
      <w:pPr>
        <w:ind w:left="1080"/>
      </w:pPr>
    </w:p>
    <w:p w14:paraId="718B44B5" w14:textId="77777777" w:rsidR="00C14A6B" w:rsidRPr="00C14A6B" w:rsidRDefault="00C14A6B" w:rsidP="00C14A6B">
      <w:pPr>
        <w:pStyle w:val="Heading3"/>
      </w:pPr>
      <w:bookmarkStart w:id="1" w:name="_Toc88142193"/>
      <w:r w:rsidRPr="00C14A6B">
        <w:t>Policy Statement</w:t>
      </w:r>
      <w:bookmarkEnd w:id="1"/>
    </w:p>
    <w:p w14:paraId="06D7CABE" w14:textId="77777777" w:rsidR="00C14A6B" w:rsidRPr="00C14A6B" w:rsidRDefault="00C14A6B" w:rsidP="00CC32B6">
      <w:r w:rsidRPr="00C14A6B">
        <w:t xml:space="preserve">Parkville College has developed this Child Safety Code of Conduct, and Statement of Commitment to Child Safety in compliance with Ministerial Order No 870, under 4.3.1(6)(d) of the Education and Training Reform Act 2006. </w:t>
      </w:r>
    </w:p>
    <w:p w14:paraId="1F899F96" w14:textId="77777777" w:rsidR="00C14A6B" w:rsidRPr="00C14A6B" w:rsidRDefault="00C14A6B" w:rsidP="00C14A6B"/>
    <w:p w14:paraId="7DBBF8AF" w14:textId="77777777" w:rsidR="00C14A6B" w:rsidRPr="00C14A6B" w:rsidRDefault="00C14A6B" w:rsidP="00C14A6B">
      <w:r w:rsidRPr="00C14A6B">
        <w:t xml:space="preserve">The Children, Youth and Families Act 2005 (CYFA2005) outlines the best interests of the child for both clients of DJCS and students </w:t>
      </w:r>
      <w:proofErr w:type="gramStart"/>
      <w:r w:rsidRPr="00C14A6B">
        <w:t>of</w:t>
      </w:r>
      <w:proofErr w:type="gramEnd"/>
      <w:r w:rsidRPr="00C14A6B">
        <w:t xml:space="preserve"> the Parkville College (PC), which explicitly states that the ‘best interests of the child must always be paramount’ with regards to their care, safety and wellbeing (CYFA2005s.10).</w:t>
      </w:r>
    </w:p>
    <w:p w14:paraId="03C7ED07" w14:textId="77777777" w:rsidR="00CC32B6" w:rsidRDefault="00CC32B6" w:rsidP="00CC32B6"/>
    <w:p w14:paraId="2F403E72" w14:textId="45E52BA3" w:rsidR="00C14A6B" w:rsidRPr="00C14A6B" w:rsidRDefault="00C14A6B" w:rsidP="00CC32B6">
      <w:r w:rsidRPr="00C14A6B">
        <w:t>Compliant with Ministerial Order 280, PC has conducted a Department of Education and Training (DET) compliance self-assessment to Child Safe Standards, and the pedagogy and school philosophy are reflective of the principles outlined within the Ministerial Order.</w:t>
      </w:r>
    </w:p>
    <w:p w14:paraId="4EA87268" w14:textId="77777777" w:rsidR="00C14A6B" w:rsidRPr="00C14A6B" w:rsidRDefault="00C14A6B" w:rsidP="00C14A6B">
      <w:pPr>
        <w:rPr>
          <w:b/>
        </w:rPr>
      </w:pPr>
    </w:p>
    <w:p w14:paraId="2F39D533" w14:textId="77777777" w:rsidR="00C14A6B" w:rsidRPr="00C14A6B" w:rsidRDefault="00C14A6B" w:rsidP="00C14A6B">
      <w:pPr>
        <w:pStyle w:val="Heading3"/>
      </w:pPr>
      <w:bookmarkStart w:id="2" w:name="_Toc88142194"/>
      <w:r w:rsidRPr="00C14A6B">
        <w:t>Guidelines</w:t>
      </w:r>
      <w:bookmarkEnd w:id="2"/>
    </w:p>
    <w:p w14:paraId="58B4E210" w14:textId="10BC8A63" w:rsidR="00C14A6B" w:rsidRPr="00C14A6B" w:rsidRDefault="00C14A6B" w:rsidP="00FA63E3">
      <w:r w:rsidRPr="00C14A6B">
        <w:t>The Parkville College Model is a culturally responsive pedagogy that works towards student growth and the development of critically conscious, independent learners. PC staff receive ongoing support and professional development to embed the Parkville College Model into their professional practice</w:t>
      </w:r>
      <w:r w:rsidR="00BA44AA">
        <w:t xml:space="preserve"> and ensure they </w:t>
      </w:r>
      <w:proofErr w:type="gramStart"/>
      <w:r w:rsidRPr="00C14A6B">
        <w:t>are able to</w:t>
      </w:r>
      <w:proofErr w:type="gramEnd"/>
      <w:r w:rsidRPr="00C14A6B">
        <w:t xml:space="preserve"> effectively provide consistent, safe and emotionally regulated relationships with students. </w:t>
      </w:r>
      <w:r w:rsidR="00BA44AA">
        <w:t xml:space="preserve">The Parkville College Model promotes a school </w:t>
      </w:r>
      <w:r w:rsidRPr="00C14A6B">
        <w:t xml:space="preserve">culture that privileges </w:t>
      </w:r>
      <w:r w:rsidR="00311764">
        <w:t>r</w:t>
      </w:r>
      <w:r w:rsidRPr="00C14A6B">
        <w:t xml:space="preserve">elationships for healing and </w:t>
      </w:r>
      <w:proofErr w:type="gramStart"/>
      <w:r w:rsidRPr="00C14A6B">
        <w:t xml:space="preserve">transformation, </w:t>
      </w:r>
      <w:r w:rsidR="00BA44AA">
        <w:t>and</w:t>
      </w:r>
      <w:proofErr w:type="gramEnd"/>
      <w:r w:rsidR="00BA44AA">
        <w:t xml:space="preserve"> </w:t>
      </w:r>
      <w:r w:rsidR="00692D6B">
        <w:t>provides</w:t>
      </w:r>
      <w:r w:rsidRPr="00C14A6B">
        <w:t xml:space="preserve"> the premise </w:t>
      </w:r>
      <w:r w:rsidR="00692D6B">
        <w:t>for</w:t>
      </w:r>
      <w:r w:rsidRPr="00C14A6B">
        <w:t xml:space="preserve"> this Child Safety Code of Conduct </w:t>
      </w:r>
      <w:r w:rsidR="00692D6B">
        <w:t>that ensures</w:t>
      </w:r>
      <w:r w:rsidRPr="00C14A6B">
        <w:t xml:space="preserve"> our </w:t>
      </w:r>
      <w:r w:rsidR="00C838CC">
        <w:t>students</w:t>
      </w:r>
      <w:r w:rsidRPr="00C14A6B">
        <w:t xml:space="preserve"> are safe at our school.</w:t>
      </w:r>
    </w:p>
    <w:p w14:paraId="2E51662A" w14:textId="77777777" w:rsidR="00C14A6B" w:rsidRPr="00C14A6B" w:rsidRDefault="00C14A6B" w:rsidP="00C14A6B">
      <w:pPr>
        <w:rPr>
          <w:b/>
          <w:u w:val="single"/>
        </w:rPr>
      </w:pPr>
    </w:p>
    <w:p w14:paraId="03C937BF" w14:textId="77777777" w:rsidR="00C14A6B" w:rsidRPr="00C14A6B" w:rsidRDefault="00C14A6B" w:rsidP="00C14A6B">
      <w:r w:rsidRPr="00C14A6B">
        <w:t>PC’s commitment to child safety and the rights of the child are reflected throughout our school policies. These include:</w:t>
      </w:r>
    </w:p>
    <w:p w14:paraId="596C4FBC" w14:textId="77777777" w:rsidR="00C14A6B" w:rsidRPr="00C14A6B" w:rsidRDefault="00C14A6B" w:rsidP="00C14A6B">
      <w:pPr>
        <w:numPr>
          <w:ilvl w:val="1"/>
          <w:numId w:val="36"/>
        </w:numPr>
      </w:pPr>
      <w:r w:rsidRPr="00C14A6B">
        <w:t>Student Wellbeing and Engagement Policy</w:t>
      </w:r>
    </w:p>
    <w:p w14:paraId="2B3BC5BA" w14:textId="77777777" w:rsidR="00C14A6B" w:rsidRPr="00C14A6B" w:rsidRDefault="00C14A6B" w:rsidP="00C14A6B">
      <w:pPr>
        <w:numPr>
          <w:ilvl w:val="1"/>
          <w:numId w:val="36"/>
        </w:numPr>
      </w:pPr>
      <w:r w:rsidRPr="00C14A6B">
        <w:t>Mandatory Reporting Policy</w:t>
      </w:r>
    </w:p>
    <w:p w14:paraId="2F1D2FA9" w14:textId="77777777" w:rsidR="00C14A6B" w:rsidRPr="00C14A6B" w:rsidRDefault="00C14A6B" w:rsidP="00C14A6B">
      <w:pPr>
        <w:numPr>
          <w:ilvl w:val="1"/>
          <w:numId w:val="36"/>
        </w:numPr>
      </w:pPr>
      <w:r w:rsidRPr="00C14A6B">
        <w:t>Anti-Bullying and Anti-Harassment Policy</w:t>
      </w:r>
    </w:p>
    <w:p w14:paraId="0488CACE" w14:textId="77777777" w:rsidR="00C14A6B" w:rsidRDefault="00C14A6B" w:rsidP="00C14A6B">
      <w:pPr>
        <w:pStyle w:val="Heading4"/>
        <w:numPr>
          <w:ilvl w:val="0"/>
          <w:numId w:val="0"/>
        </w:numPr>
      </w:pPr>
    </w:p>
    <w:p w14:paraId="3CE8D359" w14:textId="6BD925B7" w:rsidR="00C14A6B" w:rsidRPr="00C14A6B" w:rsidRDefault="00C14A6B" w:rsidP="00C14A6B">
      <w:pPr>
        <w:pStyle w:val="Heading4"/>
        <w:numPr>
          <w:ilvl w:val="0"/>
          <w:numId w:val="0"/>
        </w:numPr>
      </w:pPr>
      <w:r w:rsidRPr="00C14A6B">
        <w:t>i. Responsibilities for Parkville College Community</w:t>
      </w:r>
    </w:p>
    <w:p w14:paraId="4B00DF43" w14:textId="77777777" w:rsidR="00C14A6B" w:rsidRPr="00C14A6B" w:rsidRDefault="00C14A6B" w:rsidP="00C14A6B">
      <w:r w:rsidRPr="00C14A6B">
        <w:t xml:space="preserve">All persons working at Parkville College will: </w:t>
      </w:r>
    </w:p>
    <w:p w14:paraId="7B81F6B0" w14:textId="475E2799" w:rsidR="00C14A6B" w:rsidRPr="00C14A6B" w:rsidRDefault="00C14A6B" w:rsidP="00C14A6B">
      <w:pPr>
        <w:numPr>
          <w:ilvl w:val="0"/>
          <w:numId w:val="33"/>
        </w:numPr>
      </w:pPr>
      <w:r w:rsidRPr="00C14A6B">
        <w:t xml:space="preserve">respect the privacy of </w:t>
      </w:r>
      <w:r w:rsidR="00C838CC">
        <w:t>our students</w:t>
      </w:r>
    </w:p>
    <w:p w14:paraId="43E1A69D" w14:textId="1A9E72C9" w:rsidR="00C14A6B" w:rsidRPr="00C14A6B" w:rsidRDefault="00C14A6B" w:rsidP="00C14A6B">
      <w:pPr>
        <w:numPr>
          <w:ilvl w:val="0"/>
          <w:numId w:val="33"/>
        </w:numPr>
      </w:pPr>
      <w:r w:rsidRPr="00C14A6B">
        <w:t xml:space="preserve">protect </w:t>
      </w:r>
      <w:r w:rsidR="00C838CC">
        <w:t>our students</w:t>
      </w:r>
      <w:r w:rsidRPr="00C14A6B">
        <w:t xml:space="preserve"> from violence, abuse, bullying, torment, </w:t>
      </w:r>
      <w:proofErr w:type="gramStart"/>
      <w:r w:rsidRPr="00C14A6B">
        <w:t>ridicule</w:t>
      </w:r>
      <w:proofErr w:type="gramEnd"/>
      <w:r w:rsidRPr="00C14A6B">
        <w:t xml:space="preserve"> and neglect</w:t>
      </w:r>
    </w:p>
    <w:p w14:paraId="42C1A56F" w14:textId="29AA1141" w:rsidR="00C14A6B" w:rsidRPr="00C14A6B" w:rsidRDefault="00C14A6B" w:rsidP="00C14A6B">
      <w:pPr>
        <w:numPr>
          <w:ilvl w:val="0"/>
          <w:numId w:val="33"/>
        </w:numPr>
      </w:pPr>
      <w:r w:rsidRPr="00C14A6B">
        <w:t xml:space="preserve">protect </w:t>
      </w:r>
      <w:r w:rsidR="00C838CC">
        <w:t>our students</w:t>
      </w:r>
      <w:r w:rsidRPr="00C14A6B">
        <w:t xml:space="preserve"> from child abuse</w:t>
      </w:r>
    </w:p>
    <w:p w14:paraId="19F46958" w14:textId="1BE06BA4" w:rsidR="00C14A6B" w:rsidRPr="00C14A6B" w:rsidRDefault="00C14A6B" w:rsidP="00C14A6B">
      <w:pPr>
        <w:numPr>
          <w:ilvl w:val="0"/>
          <w:numId w:val="33"/>
        </w:numPr>
      </w:pPr>
      <w:r w:rsidRPr="00C14A6B">
        <w:t xml:space="preserve">respect the language and customs of </w:t>
      </w:r>
      <w:r w:rsidR="00C838CC">
        <w:t>our</w:t>
      </w:r>
      <w:r w:rsidRPr="00C14A6B">
        <w:t xml:space="preserve"> </w:t>
      </w:r>
      <w:r w:rsidR="00C838CC">
        <w:t>students’</w:t>
      </w:r>
      <w:r w:rsidRPr="00C14A6B">
        <w:t xml:space="preserve"> family</w:t>
      </w:r>
    </w:p>
    <w:p w14:paraId="507A1C86" w14:textId="27F479DF" w:rsidR="00C14A6B" w:rsidRPr="00C14A6B" w:rsidRDefault="00C14A6B" w:rsidP="00C14A6B">
      <w:pPr>
        <w:numPr>
          <w:ilvl w:val="0"/>
          <w:numId w:val="33"/>
        </w:numPr>
      </w:pPr>
      <w:r w:rsidRPr="00C14A6B">
        <w:t xml:space="preserve">treat everyone in the </w:t>
      </w:r>
      <w:r w:rsidR="00692D6B">
        <w:t>s</w:t>
      </w:r>
      <w:r w:rsidRPr="00C14A6B">
        <w:t>chool community with respect</w:t>
      </w:r>
    </w:p>
    <w:p w14:paraId="77A52C6C" w14:textId="3E4E4BBE" w:rsidR="00C14A6B" w:rsidRPr="00C14A6B" w:rsidRDefault="00C14A6B" w:rsidP="00C14A6B">
      <w:pPr>
        <w:numPr>
          <w:ilvl w:val="0"/>
          <w:numId w:val="33"/>
        </w:numPr>
      </w:pPr>
      <w:r w:rsidRPr="00C14A6B">
        <w:t xml:space="preserve">maintain a duty of care towards </w:t>
      </w:r>
      <w:r w:rsidR="00C838CC">
        <w:t xml:space="preserve">all </w:t>
      </w:r>
      <w:r w:rsidRPr="00C14A6B">
        <w:t>children</w:t>
      </w:r>
      <w:r w:rsidR="00C838CC">
        <w:t xml:space="preserve"> and young people</w:t>
      </w:r>
    </w:p>
    <w:p w14:paraId="16A63315" w14:textId="66B75B33" w:rsidR="00C14A6B" w:rsidRPr="00C14A6B" w:rsidRDefault="00692D6B" w:rsidP="00C14A6B">
      <w:pPr>
        <w:numPr>
          <w:ilvl w:val="0"/>
          <w:numId w:val="33"/>
        </w:numPr>
      </w:pPr>
      <w:r>
        <w:t>never exhibit</w:t>
      </w:r>
      <w:r w:rsidR="00C14A6B" w:rsidRPr="00C14A6B">
        <w:t xml:space="preserve"> covert or overt sexual </w:t>
      </w:r>
      <w:proofErr w:type="spellStart"/>
      <w:r w:rsidR="00C14A6B" w:rsidRPr="00C14A6B">
        <w:t>behaviours</w:t>
      </w:r>
      <w:proofErr w:type="spellEnd"/>
      <w:r w:rsidR="00C14A6B" w:rsidRPr="00C14A6B">
        <w:t xml:space="preserve"> when interacting with</w:t>
      </w:r>
      <w:r w:rsidR="00C838CC">
        <w:t xml:space="preserve"> any</w:t>
      </w:r>
      <w:r w:rsidR="00C14A6B" w:rsidRPr="00C14A6B">
        <w:t xml:space="preserve"> children </w:t>
      </w:r>
      <w:r w:rsidR="00C838CC">
        <w:t>or</w:t>
      </w:r>
      <w:r w:rsidR="00C14A6B" w:rsidRPr="00C14A6B">
        <w:t xml:space="preserve"> young people</w:t>
      </w:r>
    </w:p>
    <w:p w14:paraId="01026C3F" w14:textId="4E501DC7" w:rsidR="00C14A6B" w:rsidRPr="00FA63E3" w:rsidRDefault="00692D6B" w:rsidP="00C14A6B">
      <w:pPr>
        <w:numPr>
          <w:ilvl w:val="0"/>
          <w:numId w:val="33"/>
        </w:numPr>
      </w:pPr>
      <w:r w:rsidRPr="00FA63E3">
        <w:t xml:space="preserve">always </w:t>
      </w:r>
      <w:r w:rsidR="00C14A6B" w:rsidRPr="00FA63E3">
        <w:t xml:space="preserve">maintain appropriate physical and emotional boundaries in their interactions with </w:t>
      </w:r>
      <w:r w:rsidR="00C838CC">
        <w:t xml:space="preserve">all </w:t>
      </w:r>
      <w:r w:rsidR="00C14A6B" w:rsidRPr="00FA63E3">
        <w:t>children</w:t>
      </w:r>
      <w:r w:rsidR="00C838CC">
        <w:t xml:space="preserve"> and young people</w:t>
      </w:r>
    </w:p>
    <w:p w14:paraId="54FF6887" w14:textId="06A7E0E4" w:rsidR="00C14A6B" w:rsidRPr="00C14A6B" w:rsidRDefault="00FA63E3" w:rsidP="00C14A6B">
      <w:pPr>
        <w:numPr>
          <w:ilvl w:val="0"/>
          <w:numId w:val="33"/>
        </w:numPr>
      </w:pPr>
      <w:r>
        <w:t>not</w:t>
      </w:r>
      <w:r w:rsidR="00C14A6B" w:rsidRPr="00C14A6B">
        <w:t xml:space="preserve"> </w:t>
      </w:r>
      <w:r w:rsidR="00311764">
        <w:t xml:space="preserve">possess </w:t>
      </w:r>
      <w:r>
        <w:t>or use</w:t>
      </w:r>
      <w:r w:rsidR="00C14A6B" w:rsidRPr="00C14A6B">
        <w:t xml:space="preserve"> illegal drugs or alcohol when working with </w:t>
      </w:r>
      <w:r w:rsidR="00C838CC">
        <w:t xml:space="preserve">any </w:t>
      </w:r>
      <w:r w:rsidR="00C14A6B" w:rsidRPr="00C14A6B">
        <w:t>children</w:t>
      </w:r>
      <w:r w:rsidR="00C838CC">
        <w:t xml:space="preserve"> or young people</w:t>
      </w:r>
    </w:p>
    <w:p w14:paraId="6559F35C" w14:textId="77777777" w:rsidR="00C14A6B" w:rsidRPr="00C14A6B" w:rsidRDefault="00C14A6B" w:rsidP="00C14A6B">
      <w:pPr>
        <w:numPr>
          <w:ilvl w:val="0"/>
          <w:numId w:val="33"/>
        </w:numPr>
      </w:pPr>
      <w:r w:rsidRPr="00C14A6B">
        <w:t>behave as positive role models</w:t>
      </w:r>
    </w:p>
    <w:p w14:paraId="46DA0071" w14:textId="5C8EF6E6" w:rsidR="00C14A6B" w:rsidRPr="00C14A6B" w:rsidRDefault="00C14A6B" w:rsidP="00C14A6B">
      <w:pPr>
        <w:numPr>
          <w:ilvl w:val="0"/>
          <w:numId w:val="33"/>
        </w:numPr>
      </w:pPr>
      <w:r w:rsidRPr="00C14A6B">
        <w:t xml:space="preserve">listen and respond to the views and concerns of </w:t>
      </w:r>
      <w:r w:rsidR="00C838CC">
        <w:t>our students</w:t>
      </w:r>
      <w:r w:rsidRPr="00C14A6B">
        <w:t xml:space="preserve">, particularly if they are </w:t>
      </w:r>
      <w:r w:rsidR="00311764">
        <w:t>expressing th</w:t>
      </w:r>
      <w:r w:rsidRPr="00C14A6B">
        <w:t>at they or another child</w:t>
      </w:r>
      <w:r w:rsidR="00C838CC">
        <w:t xml:space="preserve"> or young person</w:t>
      </w:r>
      <w:r w:rsidRPr="00C14A6B">
        <w:t xml:space="preserve"> has been abused or that they are worried about their safety/safety of another child</w:t>
      </w:r>
      <w:r w:rsidR="00C838CC">
        <w:t xml:space="preserve"> of young person</w:t>
      </w:r>
    </w:p>
    <w:p w14:paraId="344FB7BB" w14:textId="26C5CFDE" w:rsidR="00C14A6B" w:rsidRPr="00C14A6B" w:rsidRDefault="00C14A6B" w:rsidP="00C14A6B">
      <w:pPr>
        <w:numPr>
          <w:ilvl w:val="0"/>
          <w:numId w:val="33"/>
        </w:numPr>
      </w:pPr>
      <w:r w:rsidRPr="00C14A6B">
        <w:t>promote the culture of safety, participation and empowerment of all children</w:t>
      </w:r>
      <w:r w:rsidR="00C838CC">
        <w:t xml:space="preserve"> and young people</w:t>
      </w:r>
      <w:r w:rsidRPr="00C14A6B">
        <w:t xml:space="preserve">, regardless of age, gender, culture, vulnerability, sexuality, </w:t>
      </w:r>
      <w:proofErr w:type="gramStart"/>
      <w:r w:rsidRPr="00C14A6B">
        <w:t>ethnicity</w:t>
      </w:r>
      <w:proofErr w:type="gramEnd"/>
      <w:r w:rsidRPr="00C14A6B">
        <w:t xml:space="preserve"> or ability</w:t>
      </w:r>
    </w:p>
    <w:p w14:paraId="7148621D" w14:textId="13144CF8" w:rsidR="00C14A6B" w:rsidRPr="00C14A6B" w:rsidRDefault="00C14A6B" w:rsidP="00C14A6B">
      <w:pPr>
        <w:numPr>
          <w:ilvl w:val="0"/>
          <w:numId w:val="33"/>
        </w:numPr>
      </w:pPr>
      <w:r w:rsidRPr="00C14A6B">
        <w:t xml:space="preserve">work to prevent discrimination and promote a culture of inclusion, </w:t>
      </w:r>
      <w:proofErr w:type="spellStart"/>
      <w:r w:rsidR="001D2BAE">
        <w:t>recognising</w:t>
      </w:r>
      <w:proofErr w:type="spellEnd"/>
      <w:r w:rsidR="001D2BAE" w:rsidRPr="00C14A6B">
        <w:t xml:space="preserve"> </w:t>
      </w:r>
      <w:r w:rsidRPr="00C14A6B">
        <w:t xml:space="preserve">in </w:t>
      </w:r>
      <w:proofErr w:type="gramStart"/>
      <w:r w:rsidRPr="00C14A6B">
        <w:t>particular;</w:t>
      </w:r>
      <w:proofErr w:type="gramEnd"/>
    </w:p>
    <w:p w14:paraId="00E8E2EF" w14:textId="77777777" w:rsidR="00C14A6B" w:rsidRPr="00C14A6B" w:rsidRDefault="00C14A6B" w:rsidP="00C14A6B">
      <w:pPr>
        <w:numPr>
          <w:ilvl w:val="0"/>
          <w:numId w:val="37"/>
        </w:numPr>
      </w:pPr>
      <w:r w:rsidRPr="00C14A6B">
        <w:t>cultural safety of Aboriginal and Torres Strait Islander children and young people</w:t>
      </w:r>
    </w:p>
    <w:p w14:paraId="015689A0" w14:textId="77777777" w:rsidR="00C14A6B" w:rsidRPr="00C14A6B" w:rsidRDefault="00C14A6B" w:rsidP="00C14A6B">
      <w:pPr>
        <w:numPr>
          <w:ilvl w:val="0"/>
          <w:numId w:val="37"/>
        </w:numPr>
      </w:pPr>
      <w:r w:rsidRPr="00C14A6B">
        <w:t>the cultural safety of children and young people from culturally and/or linguistically diverse communities</w:t>
      </w:r>
    </w:p>
    <w:p w14:paraId="6FEA6556" w14:textId="77777777" w:rsidR="00C14A6B" w:rsidRPr="00C14A6B" w:rsidRDefault="00C14A6B" w:rsidP="00C14A6B">
      <w:pPr>
        <w:numPr>
          <w:ilvl w:val="0"/>
          <w:numId w:val="37"/>
        </w:numPr>
      </w:pPr>
      <w:r w:rsidRPr="00C14A6B">
        <w:t>the safety of children and young people with disability</w:t>
      </w:r>
    </w:p>
    <w:p w14:paraId="0E3E9203" w14:textId="77777777" w:rsidR="00C14A6B" w:rsidRPr="00C14A6B" w:rsidRDefault="00C14A6B" w:rsidP="00C14A6B">
      <w:pPr>
        <w:numPr>
          <w:ilvl w:val="0"/>
          <w:numId w:val="37"/>
        </w:numPr>
      </w:pPr>
      <w:r w:rsidRPr="00C14A6B">
        <w:t>gender diversity and the safety of same sex attracted young people</w:t>
      </w:r>
    </w:p>
    <w:p w14:paraId="11742854" w14:textId="55522FBB" w:rsidR="00C14A6B" w:rsidRPr="00C14A6B" w:rsidRDefault="00C14A6B" w:rsidP="00C14A6B">
      <w:pPr>
        <w:numPr>
          <w:ilvl w:val="0"/>
          <w:numId w:val="33"/>
        </w:numPr>
      </w:pPr>
      <w:r w:rsidRPr="00C14A6B">
        <w:t xml:space="preserve">report immediately to the Executive Principal or Campus Principal if they have a reasonable belief or suspicion that a </w:t>
      </w:r>
      <w:proofErr w:type="spellStart"/>
      <w:r w:rsidR="00C838CC">
        <w:t>studens</w:t>
      </w:r>
      <w:proofErr w:type="spellEnd"/>
      <w:r w:rsidRPr="00C14A6B">
        <w:t xml:space="preserve"> has been or is being abused or neglected</w:t>
      </w:r>
    </w:p>
    <w:p w14:paraId="303BCA93" w14:textId="77777777" w:rsidR="00C14A6B" w:rsidRPr="00C14A6B" w:rsidRDefault="00C14A6B" w:rsidP="00C14A6B">
      <w:pPr>
        <w:numPr>
          <w:ilvl w:val="0"/>
          <w:numId w:val="33"/>
        </w:numPr>
      </w:pPr>
      <w:r w:rsidRPr="00C14A6B">
        <w:t>if an allegation of child abuse is made, ensure as quickly as possible that the child(ren) and young person/people is (are) safe</w:t>
      </w:r>
    </w:p>
    <w:p w14:paraId="00D73BC1" w14:textId="77777777" w:rsidR="00C14A6B" w:rsidRPr="00C14A6B" w:rsidRDefault="00C14A6B" w:rsidP="00C14A6B">
      <w:pPr>
        <w:numPr>
          <w:ilvl w:val="0"/>
          <w:numId w:val="33"/>
        </w:numPr>
      </w:pPr>
      <w:r w:rsidRPr="00C14A6B">
        <w:lastRenderedPageBreak/>
        <w:t xml:space="preserve">alert the Executive Principal or Campus Principal if a breach of this code is observed. </w:t>
      </w:r>
    </w:p>
    <w:p w14:paraId="5C1C0020" w14:textId="77777777" w:rsidR="00C14A6B" w:rsidRPr="00C14A6B" w:rsidRDefault="00C14A6B" w:rsidP="00C14A6B">
      <w:pPr>
        <w:rPr>
          <w:lang w:val="en-AU"/>
        </w:rPr>
      </w:pPr>
    </w:p>
    <w:p w14:paraId="393DC17D" w14:textId="77777777" w:rsidR="00C14A6B" w:rsidRPr="00C14A6B" w:rsidRDefault="00C14A6B" w:rsidP="00C14A6B">
      <w:pPr>
        <w:rPr>
          <w:lang w:val="en-AU"/>
        </w:rPr>
      </w:pPr>
      <w:r w:rsidRPr="00C14A6B">
        <w:rPr>
          <w:lang w:val="en-AU"/>
        </w:rPr>
        <w:t xml:space="preserve">All Parkville College staff must satisfactorily complete and pass a </w:t>
      </w:r>
      <w:proofErr w:type="gramStart"/>
      <w:r w:rsidRPr="00C14A6B">
        <w:rPr>
          <w:lang w:val="en-AU"/>
        </w:rPr>
        <w:t>police</w:t>
      </w:r>
      <w:proofErr w:type="gramEnd"/>
      <w:r w:rsidRPr="00C14A6B">
        <w:rPr>
          <w:lang w:val="en-AU"/>
        </w:rPr>
        <w:t xml:space="preserve"> check, and be in possession of a current Working With Children’s Check.</w:t>
      </w:r>
    </w:p>
    <w:p w14:paraId="1134B300" w14:textId="77777777" w:rsidR="00C14A6B" w:rsidRPr="00C14A6B" w:rsidRDefault="00C14A6B" w:rsidP="00114FC7">
      <w:pPr>
        <w:ind w:left="1080"/>
        <w:rPr>
          <w:lang w:val="en-AU"/>
        </w:rPr>
      </w:pPr>
    </w:p>
    <w:p w14:paraId="2DC3D1A1" w14:textId="6A252A18" w:rsidR="00C14A6B" w:rsidRPr="00C14A6B" w:rsidRDefault="00C14A6B" w:rsidP="00C14A6B">
      <w:pPr>
        <w:rPr>
          <w:lang w:val="en-AU"/>
        </w:rPr>
      </w:pPr>
      <w:r w:rsidRPr="00C14A6B">
        <w:rPr>
          <w:lang w:val="en-AU"/>
        </w:rPr>
        <w:t>All school incursion visitors to the school delivering education programs will be i</w:t>
      </w:r>
      <w:r w:rsidR="007546D1">
        <w:rPr>
          <w:lang w:val="en-AU"/>
        </w:rPr>
        <w:t>n</w:t>
      </w:r>
      <w:r w:rsidRPr="00C14A6B">
        <w:rPr>
          <w:lang w:val="en-AU"/>
        </w:rPr>
        <w:t xml:space="preserve"> possession of a Working </w:t>
      </w:r>
      <w:proofErr w:type="gramStart"/>
      <w:r w:rsidRPr="00C14A6B">
        <w:rPr>
          <w:lang w:val="en-AU"/>
        </w:rPr>
        <w:t>With</w:t>
      </w:r>
      <w:proofErr w:type="gramEnd"/>
      <w:r w:rsidRPr="00C14A6B">
        <w:rPr>
          <w:lang w:val="en-AU"/>
        </w:rPr>
        <w:t xml:space="preserve"> Children’s Check.</w:t>
      </w:r>
    </w:p>
    <w:p w14:paraId="4C4DE408" w14:textId="77777777" w:rsidR="00C14A6B" w:rsidRPr="00C14A6B" w:rsidRDefault="00C14A6B" w:rsidP="00C14A6B">
      <w:pPr>
        <w:rPr>
          <w:b/>
          <w:u w:val="single"/>
        </w:rPr>
      </w:pPr>
    </w:p>
    <w:p w14:paraId="6331D8E0" w14:textId="77777777" w:rsidR="00C14A6B" w:rsidRPr="00C14A6B" w:rsidRDefault="00C14A6B" w:rsidP="00C14A6B">
      <w:pPr>
        <w:pStyle w:val="Heading4"/>
        <w:numPr>
          <w:ilvl w:val="0"/>
          <w:numId w:val="0"/>
        </w:numPr>
        <w:ind w:left="864" w:hanging="864"/>
      </w:pPr>
      <w:r w:rsidRPr="00C14A6B">
        <w:t xml:space="preserve">ii. Responsibilities of the Executive Principal </w:t>
      </w:r>
    </w:p>
    <w:p w14:paraId="0A59FEA4" w14:textId="77777777" w:rsidR="00C14A6B" w:rsidRPr="00C14A6B" w:rsidRDefault="00C14A6B" w:rsidP="00C14A6B">
      <w:r w:rsidRPr="00C14A6B">
        <w:t xml:space="preserve">The Principal or Principal’s delegate will: </w:t>
      </w:r>
    </w:p>
    <w:p w14:paraId="14DBF20B" w14:textId="74817A3A" w:rsidR="00C14A6B" w:rsidRPr="00C14A6B" w:rsidRDefault="00C14A6B" w:rsidP="00FA63E3">
      <w:pPr>
        <w:numPr>
          <w:ilvl w:val="0"/>
          <w:numId w:val="32"/>
        </w:numPr>
      </w:pPr>
      <w:r w:rsidRPr="00C14A6B">
        <w:t>report to the Victorian Institute of Teaching any charges, committals for trial or convictions in relation to a sexual offence by a registered teacher, or certain allegations or concerns about a registered teacher</w:t>
      </w:r>
    </w:p>
    <w:p w14:paraId="54E14DE3" w14:textId="77777777" w:rsidR="00C14A6B" w:rsidRPr="00C14A6B" w:rsidRDefault="00C14A6B" w:rsidP="00C14A6B"/>
    <w:p w14:paraId="6275D8A7" w14:textId="77777777" w:rsidR="00C14A6B" w:rsidRPr="00C14A6B" w:rsidRDefault="00C14A6B" w:rsidP="00C14A6B">
      <w:pPr>
        <w:pStyle w:val="Heading4"/>
        <w:numPr>
          <w:ilvl w:val="0"/>
          <w:numId w:val="0"/>
        </w:numPr>
        <w:ind w:left="864" w:hanging="864"/>
      </w:pPr>
      <w:r w:rsidRPr="00C14A6B">
        <w:t>iii. Responsibilities Parkville College Staff, Volunteers and External Stakeholders</w:t>
      </w:r>
    </w:p>
    <w:p w14:paraId="5E055AAE" w14:textId="77777777" w:rsidR="00C14A6B" w:rsidRPr="00C14A6B" w:rsidRDefault="00C14A6B" w:rsidP="00C14A6B">
      <w:r w:rsidRPr="00C14A6B">
        <w:t xml:space="preserve">Parkville College employed staff, contractors, </w:t>
      </w:r>
      <w:proofErr w:type="gramStart"/>
      <w:r w:rsidRPr="00C14A6B">
        <w:t>volunteers</w:t>
      </w:r>
      <w:proofErr w:type="gramEnd"/>
      <w:r w:rsidRPr="00C14A6B">
        <w:t xml:space="preserve"> and external stakeholder who work with Parkville College and our students will not:</w:t>
      </w:r>
    </w:p>
    <w:p w14:paraId="0E74A127" w14:textId="77777777" w:rsidR="00C14A6B" w:rsidRPr="00C14A6B" w:rsidRDefault="00C14A6B" w:rsidP="00C14A6B">
      <w:pPr>
        <w:numPr>
          <w:ilvl w:val="0"/>
          <w:numId w:val="32"/>
        </w:numPr>
      </w:pPr>
      <w:r w:rsidRPr="00C14A6B">
        <w:t>ignore or disregard any suspected or disclosed child abuse</w:t>
      </w:r>
    </w:p>
    <w:p w14:paraId="2B5703C6" w14:textId="1D70EF90" w:rsidR="00C14A6B" w:rsidRPr="00C14A6B" w:rsidRDefault="00C14A6B" w:rsidP="00C14A6B">
      <w:pPr>
        <w:numPr>
          <w:ilvl w:val="0"/>
          <w:numId w:val="32"/>
        </w:numPr>
      </w:pPr>
      <w:r w:rsidRPr="00C14A6B">
        <w:t xml:space="preserve">behave in a discriminatory way towards </w:t>
      </w:r>
      <w:r w:rsidR="00C838CC">
        <w:t>any</w:t>
      </w:r>
      <w:r w:rsidR="00C838CC" w:rsidRPr="00C14A6B">
        <w:t xml:space="preserve"> children </w:t>
      </w:r>
      <w:r w:rsidR="00C838CC">
        <w:t>or</w:t>
      </w:r>
      <w:r w:rsidR="00C838CC" w:rsidRPr="00C14A6B">
        <w:t xml:space="preserve"> young people</w:t>
      </w:r>
    </w:p>
    <w:p w14:paraId="44389C05" w14:textId="15112696" w:rsidR="00C14A6B" w:rsidRPr="00C14A6B" w:rsidRDefault="00C14A6B" w:rsidP="00C14A6B">
      <w:pPr>
        <w:numPr>
          <w:ilvl w:val="0"/>
          <w:numId w:val="32"/>
        </w:numPr>
      </w:pPr>
      <w:r w:rsidRPr="00C14A6B">
        <w:t>engage in conduct towards</w:t>
      </w:r>
      <w:r w:rsidR="001D2BAE">
        <w:t>,</w:t>
      </w:r>
      <w:r w:rsidRPr="00C14A6B">
        <w:t xml:space="preserve"> or in the presence of</w:t>
      </w:r>
      <w:r w:rsidR="001D2BAE">
        <w:t>,</w:t>
      </w:r>
      <w:r w:rsidRPr="00C14A6B">
        <w:t xml:space="preserve"> a child</w:t>
      </w:r>
      <w:r w:rsidR="00C838CC">
        <w:t xml:space="preserve"> or young person</w:t>
      </w:r>
      <w:r w:rsidRPr="00C14A6B">
        <w:t xml:space="preserve"> that suggests contempt, ridicule or intolerance because of the child</w:t>
      </w:r>
      <w:r w:rsidR="00C838CC">
        <w:t xml:space="preserve"> or young person</w:t>
      </w:r>
      <w:r w:rsidRPr="00C14A6B">
        <w:t xml:space="preserve">'s or another person's race, culture, religion, </w:t>
      </w:r>
      <w:proofErr w:type="gramStart"/>
      <w:r w:rsidRPr="00C14A6B">
        <w:t>sex</w:t>
      </w:r>
      <w:proofErr w:type="gramEnd"/>
      <w:r w:rsidRPr="00C14A6B">
        <w:t xml:space="preserve"> or disability</w:t>
      </w:r>
    </w:p>
    <w:p w14:paraId="4AC64488" w14:textId="338E98FA" w:rsidR="00C14A6B" w:rsidRPr="00FA63E3" w:rsidRDefault="00C14A6B" w:rsidP="00C14A6B">
      <w:pPr>
        <w:numPr>
          <w:ilvl w:val="0"/>
          <w:numId w:val="32"/>
        </w:numPr>
      </w:pPr>
      <w:r w:rsidRPr="00FA63E3">
        <w:t xml:space="preserve">exhibit </w:t>
      </w:r>
      <w:proofErr w:type="spellStart"/>
      <w:r w:rsidRPr="00FA63E3">
        <w:t>behaviour</w:t>
      </w:r>
      <w:proofErr w:type="spellEnd"/>
      <w:r w:rsidRPr="00FA63E3">
        <w:t xml:space="preserve"> with </w:t>
      </w:r>
      <w:r w:rsidR="00C838CC">
        <w:t>students</w:t>
      </w:r>
      <w:r w:rsidRPr="00FA63E3">
        <w:t xml:space="preserve"> which may be construed as unnecessarily physical (for example hugging)</w:t>
      </w:r>
    </w:p>
    <w:p w14:paraId="333FF1A5" w14:textId="1DE2086A" w:rsidR="00C14A6B" w:rsidRPr="00FA63E3" w:rsidRDefault="00C14A6B" w:rsidP="00C14A6B">
      <w:pPr>
        <w:numPr>
          <w:ilvl w:val="0"/>
          <w:numId w:val="32"/>
        </w:numPr>
      </w:pPr>
      <w:r w:rsidRPr="00FA63E3">
        <w:t xml:space="preserve">engage in prejudicial, </w:t>
      </w:r>
      <w:proofErr w:type="gramStart"/>
      <w:r w:rsidRPr="00FA63E3">
        <w:t>oppressive</w:t>
      </w:r>
      <w:proofErr w:type="gramEnd"/>
      <w:r w:rsidRPr="00FA63E3">
        <w:t xml:space="preserve"> or threatening </w:t>
      </w:r>
      <w:proofErr w:type="spellStart"/>
      <w:r w:rsidRPr="00FA63E3">
        <w:t>behaviour</w:t>
      </w:r>
      <w:proofErr w:type="spellEnd"/>
      <w:r w:rsidRPr="00FA63E3">
        <w:t xml:space="preserve"> towards </w:t>
      </w:r>
      <w:r w:rsidR="00C838CC">
        <w:t>any</w:t>
      </w:r>
      <w:r w:rsidR="00C838CC" w:rsidRPr="00C14A6B">
        <w:t xml:space="preserve"> children </w:t>
      </w:r>
      <w:r w:rsidR="00C838CC">
        <w:t>or</w:t>
      </w:r>
      <w:r w:rsidR="00C838CC" w:rsidRPr="00C14A6B">
        <w:t xml:space="preserve"> young people</w:t>
      </w:r>
    </w:p>
    <w:p w14:paraId="3726116C" w14:textId="01C541B5" w:rsidR="00C14A6B" w:rsidRPr="00FA63E3" w:rsidRDefault="00C14A6B" w:rsidP="00C14A6B">
      <w:pPr>
        <w:numPr>
          <w:ilvl w:val="0"/>
          <w:numId w:val="32"/>
        </w:numPr>
      </w:pPr>
      <w:r w:rsidRPr="00FA63E3">
        <w:t xml:space="preserve">use offensive, profane, </w:t>
      </w:r>
      <w:proofErr w:type="gramStart"/>
      <w:r w:rsidRPr="00FA63E3">
        <w:t>discriminatory</w:t>
      </w:r>
      <w:proofErr w:type="gramEnd"/>
      <w:r w:rsidRPr="00FA63E3">
        <w:t xml:space="preserve"> or abusive language towards or in the presence of </w:t>
      </w:r>
      <w:r w:rsidR="00C838CC">
        <w:t>any</w:t>
      </w:r>
      <w:r w:rsidR="00C838CC" w:rsidRPr="00C14A6B">
        <w:t xml:space="preserve"> children </w:t>
      </w:r>
      <w:r w:rsidR="00C838CC">
        <w:t>or</w:t>
      </w:r>
      <w:r w:rsidR="00C838CC" w:rsidRPr="00C14A6B">
        <w:t xml:space="preserve"> young people</w:t>
      </w:r>
    </w:p>
    <w:p w14:paraId="4A7724D7" w14:textId="67828956" w:rsidR="00C14A6B" w:rsidRPr="00FA63E3" w:rsidRDefault="00C14A6B" w:rsidP="00C14A6B">
      <w:pPr>
        <w:numPr>
          <w:ilvl w:val="0"/>
          <w:numId w:val="32"/>
        </w:numPr>
      </w:pPr>
      <w:r w:rsidRPr="00FA63E3">
        <w:t xml:space="preserve">communicate privately with </w:t>
      </w:r>
      <w:r w:rsidR="00C838CC">
        <w:t>students</w:t>
      </w:r>
      <w:r w:rsidRPr="00FA63E3">
        <w:t xml:space="preserve"> outside the context of their professional or volunteer relationship</w:t>
      </w:r>
    </w:p>
    <w:p w14:paraId="57CD2651" w14:textId="45CFD385" w:rsidR="00C14A6B" w:rsidRPr="00FA63E3" w:rsidRDefault="00C14A6B" w:rsidP="00C14A6B">
      <w:pPr>
        <w:numPr>
          <w:ilvl w:val="0"/>
          <w:numId w:val="32"/>
        </w:numPr>
      </w:pPr>
      <w:r w:rsidRPr="00FA63E3">
        <w:t xml:space="preserve">be in the presence of Parkville College </w:t>
      </w:r>
      <w:r w:rsidR="00C838CC">
        <w:t>students</w:t>
      </w:r>
      <w:r w:rsidRPr="00FA63E3">
        <w:t>, or on school premises</w:t>
      </w:r>
      <w:r w:rsidR="001D2BAE">
        <w:t>,</w:t>
      </w:r>
      <w:r w:rsidRPr="00FA63E3">
        <w:t xml:space="preserve"> when under the influence of alcohol or illegal drugs </w:t>
      </w:r>
    </w:p>
    <w:p w14:paraId="7443E5F0" w14:textId="25D39242" w:rsidR="00C14A6B" w:rsidRPr="00FA63E3" w:rsidRDefault="00C14A6B" w:rsidP="00C14A6B">
      <w:pPr>
        <w:numPr>
          <w:ilvl w:val="0"/>
          <w:numId w:val="32"/>
        </w:numPr>
      </w:pPr>
      <w:r w:rsidRPr="00FA63E3">
        <w:t xml:space="preserve">develop any ‘special’ relationships with </w:t>
      </w:r>
      <w:r w:rsidR="00C838CC">
        <w:t>students</w:t>
      </w:r>
      <w:r w:rsidRPr="00FA63E3">
        <w:t xml:space="preserve"> that could be seen as offering favoritism (for example, offering or receiving gifts or special treatment for specific children)</w:t>
      </w:r>
    </w:p>
    <w:p w14:paraId="6BD91355" w14:textId="05B526E9" w:rsidR="00C14A6B" w:rsidRPr="00FA63E3" w:rsidRDefault="00C14A6B" w:rsidP="00C14A6B">
      <w:pPr>
        <w:numPr>
          <w:ilvl w:val="0"/>
          <w:numId w:val="32"/>
        </w:numPr>
      </w:pPr>
      <w:r w:rsidRPr="00FA63E3">
        <w:t xml:space="preserve">have any online contact with a </w:t>
      </w:r>
      <w:r w:rsidR="00C838CC">
        <w:t>student</w:t>
      </w:r>
      <w:r w:rsidRPr="00FA63E3">
        <w:t xml:space="preserve"> (including by social media, email, instant messaging etc</w:t>
      </w:r>
      <w:r w:rsidR="00F36940">
        <w:t>.</w:t>
      </w:r>
      <w:r w:rsidRPr="00FA63E3">
        <w:t xml:space="preserve">) or their family unless necessary for a legitimate School purpose, </w:t>
      </w:r>
      <w:r w:rsidR="00030216">
        <w:t xml:space="preserve">e.g., </w:t>
      </w:r>
      <w:r w:rsidRPr="00FA63E3">
        <w:t xml:space="preserve">by providing families with School information or assisting students with their </w:t>
      </w:r>
      <w:r w:rsidR="00F36940" w:rsidRPr="00FA63E3">
        <w:t>schoolwork</w:t>
      </w:r>
    </w:p>
    <w:p w14:paraId="01C79A7F" w14:textId="0B07A96E" w:rsidR="00C14A6B" w:rsidRPr="00FA63E3" w:rsidRDefault="00C14A6B" w:rsidP="00C14A6B">
      <w:pPr>
        <w:numPr>
          <w:ilvl w:val="0"/>
          <w:numId w:val="32"/>
        </w:numPr>
      </w:pPr>
      <w:r w:rsidRPr="00FA63E3">
        <w:t xml:space="preserve">take photos or videos </w:t>
      </w:r>
      <w:r w:rsidR="00C838CC">
        <w:t>of students</w:t>
      </w:r>
      <w:r w:rsidRPr="00FA63E3">
        <w:t xml:space="preserve"> in the school environment, or publish names, </w:t>
      </w:r>
      <w:proofErr w:type="gramStart"/>
      <w:r w:rsidRPr="00FA63E3">
        <w:t>photos</w:t>
      </w:r>
      <w:proofErr w:type="gramEnd"/>
      <w:r w:rsidRPr="00FA63E3">
        <w:t xml:space="preserve"> or videos (including online), that are not for </w:t>
      </w:r>
      <w:proofErr w:type="spellStart"/>
      <w:r w:rsidRPr="00FA63E3">
        <w:t>authorised</w:t>
      </w:r>
      <w:proofErr w:type="spellEnd"/>
      <w:r w:rsidRPr="00FA63E3">
        <w:t xml:space="preserve"> School purposes, or taken or published without the </w:t>
      </w:r>
      <w:proofErr w:type="spellStart"/>
      <w:r w:rsidRPr="00FA63E3">
        <w:t>authorisation</w:t>
      </w:r>
      <w:proofErr w:type="spellEnd"/>
      <w:r w:rsidRPr="00FA63E3">
        <w:t xml:space="preserve"> of the </w:t>
      </w:r>
      <w:r w:rsidR="00C838CC">
        <w:t>student</w:t>
      </w:r>
      <w:r w:rsidRPr="00FA63E3">
        <w:t xml:space="preserve"> or the </w:t>
      </w:r>
      <w:r w:rsidR="00C838CC">
        <w:t>student</w:t>
      </w:r>
      <w:r w:rsidRPr="00FA63E3">
        <w:t xml:space="preserve">'s parents or guardians. </w:t>
      </w:r>
    </w:p>
    <w:p w14:paraId="617E9BED" w14:textId="77777777" w:rsidR="00C14A6B" w:rsidRPr="00C14A6B" w:rsidRDefault="00C14A6B" w:rsidP="00C14A6B">
      <w:pPr>
        <w:rPr>
          <w:lang w:val="en-AU"/>
        </w:rPr>
      </w:pPr>
    </w:p>
    <w:p w14:paraId="5130D03B" w14:textId="55C7696C" w:rsidR="00C14A6B" w:rsidRPr="00C14A6B" w:rsidRDefault="00C14A6B" w:rsidP="00C14A6B">
      <w:pPr>
        <w:rPr>
          <w:lang w:val="en-AU"/>
        </w:rPr>
      </w:pPr>
      <w:r w:rsidRPr="00C14A6B">
        <w:rPr>
          <w:lang w:val="en-AU"/>
        </w:rPr>
        <w:t xml:space="preserve">DJCS and </w:t>
      </w:r>
      <w:r w:rsidR="006B2929">
        <w:rPr>
          <w:lang w:val="en-AU"/>
        </w:rPr>
        <w:t>DFFH</w:t>
      </w:r>
      <w:r w:rsidRPr="00C14A6B">
        <w:rPr>
          <w:lang w:val="en-AU"/>
        </w:rPr>
        <w:t xml:space="preserve"> staff will always be present with Parkville College students residing within Youth Justice Precincts due to their statutory duty of care. Parkville College staff will follow the direction of DJCS and </w:t>
      </w:r>
      <w:r w:rsidR="006B2929">
        <w:rPr>
          <w:lang w:val="en-AU"/>
        </w:rPr>
        <w:t>DFFH</w:t>
      </w:r>
      <w:r w:rsidRPr="00C14A6B">
        <w:rPr>
          <w:lang w:val="en-AU"/>
        </w:rPr>
        <w:t xml:space="preserve"> staff to ensure that the students</w:t>
      </w:r>
      <w:r w:rsidR="001D2BAE">
        <w:rPr>
          <w:lang w:val="en-AU"/>
        </w:rPr>
        <w:t>’</w:t>
      </w:r>
      <w:r w:rsidRPr="00C14A6B">
        <w:rPr>
          <w:lang w:val="en-AU"/>
        </w:rPr>
        <w:t xml:space="preserve"> safety and wellbeing is not placed at risk of harm. </w:t>
      </w:r>
    </w:p>
    <w:p w14:paraId="58B13EF3" w14:textId="77777777" w:rsidR="00C14A6B" w:rsidRPr="00C14A6B" w:rsidRDefault="00C14A6B" w:rsidP="00C14A6B">
      <w:pPr>
        <w:rPr>
          <w:b/>
          <w:u w:val="single"/>
        </w:rPr>
      </w:pPr>
    </w:p>
    <w:p w14:paraId="22C8D01D" w14:textId="77777777" w:rsidR="00C14A6B" w:rsidRPr="00C14A6B" w:rsidRDefault="00C14A6B" w:rsidP="00C14A6B">
      <w:pPr>
        <w:pStyle w:val="Heading4"/>
        <w:numPr>
          <w:ilvl w:val="0"/>
          <w:numId w:val="0"/>
        </w:numPr>
        <w:ind w:left="864" w:hanging="864"/>
      </w:pPr>
      <w:r w:rsidRPr="00C14A6B">
        <w:t>iv. Responsibilities for Teachers – VIT Code of Conduct</w:t>
      </w:r>
    </w:p>
    <w:p w14:paraId="0CE4A83A" w14:textId="77777777" w:rsidR="00C14A6B" w:rsidRPr="00C14A6B" w:rsidRDefault="00C14A6B" w:rsidP="00C14A6B">
      <w:r w:rsidRPr="00C14A6B">
        <w:t xml:space="preserve">Teachers are also required to abide by the principles relating to relationships with students as set out in the Victorian Teaching Profession Code of Conduct published by the Victorian Institute of Teaching. </w:t>
      </w:r>
    </w:p>
    <w:p w14:paraId="3B167BAF" w14:textId="77777777" w:rsidR="00C14A6B" w:rsidRPr="00C14A6B" w:rsidRDefault="00C14A6B" w:rsidP="00C14A6B">
      <w:r w:rsidRPr="00C14A6B">
        <w:t>These principles include:</w:t>
      </w:r>
    </w:p>
    <w:p w14:paraId="6893AE68" w14:textId="77777777" w:rsidR="00C14A6B" w:rsidRPr="00C14A6B" w:rsidRDefault="00C14A6B" w:rsidP="00C14A6B">
      <w:pPr>
        <w:numPr>
          <w:ilvl w:val="0"/>
          <w:numId w:val="31"/>
        </w:numPr>
      </w:pPr>
      <w:r w:rsidRPr="00C14A6B">
        <w:t>knowing their students well, respecting their individual differences and catering for their individual abilities</w:t>
      </w:r>
    </w:p>
    <w:p w14:paraId="0496B0B7" w14:textId="77777777" w:rsidR="00C14A6B" w:rsidRPr="00C14A6B" w:rsidRDefault="00C14A6B" w:rsidP="00C14A6B">
      <w:pPr>
        <w:numPr>
          <w:ilvl w:val="0"/>
          <w:numId w:val="31"/>
        </w:numPr>
      </w:pPr>
      <w:r w:rsidRPr="00C14A6B">
        <w:t>working to create an environment which promotes mutual respect</w:t>
      </w:r>
    </w:p>
    <w:p w14:paraId="2406034C" w14:textId="77777777" w:rsidR="00C14A6B" w:rsidRPr="00C14A6B" w:rsidRDefault="00C14A6B" w:rsidP="00C14A6B">
      <w:pPr>
        <w:numPr>
          <w:ilvl w:val="0"/>
          <w:numId w:val="31"/>
        </w:numPr>
      </w:pPr>
      <w:r w:rsidRPr="00C14A6B">
        <w:t>modelling and engaging in respectful and impartial language</w:t>
      </w:r>
    </w:p>
    <w:p w14:paraId="15B93189" w14:textId="77777777" w:rsidR="00C14A6B" w:rsidRPr="00C14A6B" w:rsidRDefault="00C14A6B" w:rsidP="00C14A6B">
      <w:pPr>
        <w:numPr>
          <w:ilvl w:val="0"/>
          <w:numId w:val="31"/>
        </w:numPr>
      </w:pPr>
      <w:r w:rsidRPr="00C14A6B">
        <w:t xml:space="preserve">protecting students from intimidation, embarrassment, </w:t>
      </w:r>
      <w:proofErr w:type="gramStart"/>
      <w:r w:rsidRPr="00C14A6B">
        <w:t>humiliation</w:t>
      </w:r>
      <w:proofErr w:type="gramEnd"/>
      <w:r w:rsidRPr="00C14A6B">
        <w:t xml:space="preserve"> and harm</w:t>
      </w:r>
    </w:p>
    <w:p w14:paraId="7CAE0DB6" w14:textId="77777777" w:rsidR="00C14A6B" w:rsidRPr="00C14A6B" w:rsidRDefault="00C14A6B" w:rsidP="00C14A6B">
      <w:pPr>
        <w:numPr>
          <w:ilvl w:val="0"/>
          <w:numId w:val="31"/>
        </w:numPr>
      </w:pPr>
      <w:r w:rsidRPr="00C14A6B">
        <w:t>respecting a student's privacy in sensitive matters</w:t>
      </w:r>
    </w:p>
    <w:p w14:paraId="3C51011E" w14:textId="77777777" w:rsidR="00C14A6B" w:rsidRPr="00FA63E3" w:rsidRDefault="00C14A6B" w:rsidP="00C14A6B">
      <w:pPr>
        <w:numPr>
          <w:ilvl w:val="0"/>
          <w:numId w:val="31"/>
        </w:numPr>
      </w:pPr>
      <w:r w:rsidRPr="00FA63E3">
        <w:t>interacting with students without displaying bias or preference</w:t>
      </w:r>
    </w:p>
    <w:p w14:paraId="0AA4BB70" w14:textId="77777777" w:rsidR="00C14A6B" w:rsidRPr="00FA63E3" w:rsidRDefault="00C14A6B" w:rsidP="00C14A6B">
      <w:pPr>
        <w:numPr>
          <w:ilvl w:val="0"/>
          <w:numId w:val="31"/>
        </w:numPr>
      </w:pPr>
      <w:r w:rsidRPr="00FA63E3">
        <w:t xml:space="preserve">not violating or compromising the unique position that a teacher holds of influence and trust in their relationship with students. </w:t>
      </w:r>
    </w:p>
    <w:p w14:paraId="6CB75B80" w14:textId="77777777" w:rsidR="00C14A6B" w:rsidRPr="00C14A6B" w:rsidRDefault="00C14A6B" w:rsidP="00C14A6B"/>
    <w:p w14:paraId="513E36F5" w14:textId="77777777" w:rsidR="00C14A6B" w:rsidRPr="00C14A6B" w:rsidRDefault="00C14A6B" w:rsidP="00C14A6B">
      <w:pPr>
        <w:pStyle w:val="Heading4"/>
        <w:numPr>
          <w:ilvl w:val="0"/>
          <w:numId w:val="0"/>
        </w:numPr>
        <w:ind w:left="864" w:hanging="864"/>
      </w:pPr>
      <w:r w:rsidRPr="00C14A6B">
        <w:t>v. Breaches of this code</w:t>
      </w:r>
    </w:p>
    <w:p w14:paraId="5BCE88E9" w14:textId="16B03F25" w:rsidR="00C14A6B" w:rsidRPr="00C14A6B" w:rsidRDefault="00C14A6B" w:rsidP="00C14A6B">
      <w:r w:rsidRPr="00C14A6B">
        <w:t>Employees of Parkville College who breach this code of conduct will be liable to disciplinary</w:t>
      </w:r>
      <w:r w:rsidR="00CC32B6">
        <w:t xml:space="preserve"> </w:t>
      </w:r>
      <w:r w:rsidRPr="00C14A6B">
        <w:t>action in accordance</w:t>
      </w:r>
      <w:r w:rsidR="00311764">
        <w:t xml:space="preserve"> with DET processes</w:t>
      </w:r>
      <w:r w:rsidRPr="00C14A6B">
        <w:t xml:space="preserve">, which may include counselling, receiving a written warning, loss of privileges, suspension from duties or the termination of their employment. </w:t>
      </w:r>
    </w:p>
    <w:p w14:paraId="1D6747C3" w14:textId="77777777" w:rsidR="00C14A6B" w:rsidRPr="00C14A6B" w:rsidRDefault="00C14A6B" w:rsidP="00C14A6B"/>
    <w:p w14:paraId="1E38B3A6" w14:textId="77777777" w:rsidR="00C14A6B" w:rsidRPr="00C14A6B" w:rsidRDefault="00C14A6B" w:rsidP="00C14A6B">
      <w:r w:rsidRPr="00C14A6B">
        <w:t xml:space="preserve">Contractors and volunteers of Parkville College who breach this code of conduct may face termination of their engagement with Parkville College. Employees of contractors or sub-contractors may also be refused permission to continue working in the Parkville College school environment. </w:t>
      </w:r>
    </w:p>
    <w:p w14:paraId="00509670" w14:textId="77777777" w:rsidR="00C14A6B" w:rsidRPr="00C14A6B" w:rsidRDefault="00C14A6B" w:rsidP="00C14A6B"/>
    <w:p w14:paraId="2EA803D5" w14:textId="162147B2" w:rsidR="00C14A6B" w:rsidRPr="00C14A6B" w:rsidRDefault="00C14A6B" w:rsidP="00C14A6B">
      <w:r w:rsidRPr="00C14A6B">
        <w:t xml:space="preserve">In appropriate cases, a breach may be referred to the Victoria Police and/or a regulatory body, such as the Victorian Institute of Teaching, Department of Justice and Community Safety and the Department of </w:t>
      </w:r>
      <w:r w:rsidR="006B2929">
        <w:t>Families, Fairness and Housing</w:t>
      </w:r>
      <w:r w:rsidRPr="00C14A6B">
        <w:t xml:space="preserve">. </w:t>
      </w:r>
    </w:p>
    <w:p w14:paraId="7EA7BE3F" w14:textId="77777777" w:rsidR="00C14A6B" w:rsidRPr="00C14A6B" w:rsidRDefault="00C14A6B" w:rsidP="00C14A6B"/>
    <w:p w14:paraId="043A6423" w14:textId="3501C945" w:rsidR="00C14A6B" w:rsidRPr="00C14A6B" w:rsidRDefault="00C14A6B" w:rsidP="00C14A6B">
      <w:r w:rsidRPr="00C14A6B">
        <w:t xml:space="preserve">Any inappropriate student </w:t>
      </w:r>
      <w:proofErr w:type="spellStart"/>
      <w:r w:rsidRPr="00C14A6B">
        <w:t>behaviours</w:t>
      </w:r>
      <w:proofErr w:type="spellEnd"/>
      <w:r w:rsidRPr="00C14A6B">
        <w:t xml:space="preserve"> that fit the following criteria must be addressed with the support of DJCS or D</w:t>
      </w:r>
      <w:r w:rsidR="00311764">
        <w:t>FFH</w:t>
      </w:r>
      <w:r w:rsidRPr="00C14A6B">
        <w:t xml:space="preserve"> staff:</w:t>
      </w:r>
    </w:p>
    <w:p w14:paraId="4F203FE5" w14:textId="77777777" w:rsidR="00C14A6B" w:rsidRPr="00C14A6B" w:rsidRDefault="00C14A6B" w:rsidP="00C14A6B">
      <w:pPr>
        <w:numPr>
          <w:ilvl w:val="0"/>
          <w:numId w:val="34"/>
        </w:numPr>
      </w:pPr>
      <w:proofErr w:type="spellStart"/>
      <w:r w:rsidRPr="00C14A6B">
        <w:t>behaviour</w:t>
      </w:r>
      <w:proofErr w:type="spellEnd"/>
      <w:r w:rsidRPr="00C14A6B">
        <w:t xml:space="preserve"> that compromises teachers' or students' safety </w:t>
      </w:r>
    </w:p>
    <w:p w14:paraId="23402257" w14:textId="76D371F5" w:rsidR="00C14A6B" w:rsidRPr="00C14A6B" w:rsidRDefault="00C14A6B" w:rsidP="00C14A6B">
      <w:pPr>
        <w:numPr>
          <w:ilvl w:val="0"/>
          <w:numId w:val="34"/>
        </w:numPr>
      </w:pPr>
      <w:r w:rsidRPr="00C14A6B">
        <w:t xml:space="preserve">damaging of property </w:t>
      </w:r>
      <w:r w:rsidR="007308C4">
        <w:t>or</w:t>
      </w:r>
      <w:r w:rsidR="007308C4" w:rsidRPr="00C14A6B">
        <w:t xml:space="preserve"> </w:t>
      </w:r>
      <w:r w:rsidRPr="00C14A6B">
        <w:t xml:space="preserve">equipment </w:t>
      </w:r>
    </w:p>
    <w:p w14:paraId="6E721787" w14:textId="77777777" w:rsidR="00C14A6B" w:rsidRPr="00C14A6B" w:rsidRDefault="00C14A6B" w:rsidP="00C14A6B">
      <w:pPr>
        <w:numPr>
          <w:ilvl w:val="0"/>
          <w:numId w:val="34"/>
        </w:numPr>
      </w:pPr>
      <w:r w:rsidRPr="00C14A6B">
        <w:t xml:space="preserve">offensive language or </w:t>
      </w:r>
      <w:proofErr w:type="spellStart"/>
      <w:r w:rsidRPr="00C14A6B">
        <w:t>behaviour</w:t>
      </w:r>
      <w:proofErr w:type="spellEnd"/>
      <w:r w:rsidRPr="00C14A6B">
        <w:t xml:space="preserve"> </w:t>
      </w:r>
    </w:p>
    <w:p w14:paraId="29FD9187" w14:textId="77777777" w:rsidR="00C14A6B" w:rsidRPr="00C14A6B" w:rsidRDefault="00C14A6B" w:rsidP="00C14A6B">
      <w:pPr>
        <w:numPr>
          <w:ilvl w:val="0"/>
          <w:numId w:val="34"/>
        </w:numPr>
      </w:pPr>
      <w:r w:rsidRPr="00C14A6B">
        <w:t>repeated failure to follow teachers' directions.</w:t>
      </w:r>
    </w:p>
    <w:p w14:paraId="7FC4A8B4" w14:textId="77777777" w:rsidR="00C14A6B" w:rsidRPr="00C14A6B" w:rsidRDefault="00C14A6B" w:rsidP="00CC32B6">
      <w:pPr>
        <w:ind w:left="1080"/>
      </w:pPr>
    </w:p>
    <w:p w14:paraId="3688F83A" w14:textId="77777777" w:rsidR="00C14A6B" w:rsidRPr="00C14A6B" w:rsidRDefault="00C14A6B" w:rsidP="00CC32B6">
      <w:r w:rsidRPr="00C14A6B">
        <w:lastRenderedPageBreak/>
        <w:t>For Parkville College students who are attending the O Street Flexible Learning Centre, Parkville College staff work with students to engage in appropriate classroom behavior, always ensuring the safety of all the students. Staff at O-Street assist students to develop psychological strengths and skills and the self-regulatory skills required to navigate adulthood. To ensure safe and respectful classrooms staff will:</w:t>
      </w:r>
    </w:p>
    <w:p w14:paraId="3FA7A635" w14:textId="263B06DF" w:rsidR="00C14A6B" w:rsidRPr="00C14A6B" w:rsidRDefault="006D49EB" w:rsidP="00CC32B6">
      <w:pPr>
        <w:numPr>
          <w:ilvl w:val="0"/>
          <w:numId w:val="35"/>
        </w:numPr>
        <w:ind w:left="720"/>
      </w:pPr>
      <w:r>
        <w:t>c</w:t>
      </w:r>
      <w:r w:rsidR="00C14A6B" w:rsidRPr="00C14A6B">
        <w:t>o-create culturally safe classroom expectations with students</w:t>
      </w:r>
    </w:p>
    <w:p w14:paraId="1DA010A1" w14:textId="68058775" w:rsidR="00C14A6B" w:rsidRPr="00C14A6B" w:rsidRDefault="006D49EB" w:rsidP="00CC32B6">
      <w:pPr>
        <w:numPr>
          <w:ilvl w:val="0"/>
          <w:numId w:val="35"/>
        </w:numPr>
        <w:ind w:left="720"/>
      </w:pPr>
      <w:r>
        <w:t>s</w:t>
      </w:r>
      <w:r w:rsidR="00C14A6B" w:rsidRPr="00C14A6B">
        <w:t xml:space="preserve">peak with </w:t>
      </w:r>
      <w:r>
        <w:t>s</w:t>
      </w:r>
      <w:r w:rsidR="00C14A6B" w:rsidRPr="00C14A6B">
        <w:t>tudent</w:t>
      </w:r>
      <w:r>
        <w:t xml:space="preserve">s who display inappropriate </w:t>
      </w:r>
      <w:proofErr w:type="spellStart"/>
      <w:r>
        <w:t>behaviour</w:t>
      </w:r>
      <w:proofErr w:type="spellEnd"/>
      <w:r w:rsidR="00C14A6B" w:rsidRPr="00C14A6B">
        <w:t xml:space="preserve"> individually, reinforcing classroom expectations </w:t>
      </w:r>
    </w:p>
    <w:p w14:paraId="20AAAE02" w14:textId="372A6F97" w:rsidR="00C14A6B" w:rsidRPr="00C14A6B" w:rsidRDefault="006D49EB" w:rsidP="00CC32B6">
      <w:pPr>
        <w:numPr>
          <w:ilvl w:val="0"/>
          <w:numId w:val="35"/>
        </w:numPr>
        <w:ind w:left="720"/>
      </w:pPr>
      <w:r>
        <w:t>r</w:t>
      </w:r>
      <w:r w:rsidR="00C14A6B" w:rsidRPr="00C14A6B">
        <w:t>equest the support of another colleague in the classroom</w:t>
      </w:r>
      <w:r>
        <w:t xml:space="preserve"> when necessary</w:t>
      </w:r>
    </w:p>
    <w:p w14:paraId="4EE23B12" w14:textId="31C6C7B0" w:rsidR="00C14A6B" w:rsidRPr="00C14A6B" w:rsidRDefault="006D49EB" w:rsidP="00CC32B6">
      <w:pPr>
        <w:numPr>
          <w:ilvl w:val="0"/>
          <w:numId w:val="35"/>
        </w:numPr>
        <w:ind w:left="720"/>
      </w:pPr>
      <w:r>
        <w:t>r</w:t>
      </w:r>
      <w:r w:rsidR="00C14A6B" w:rsidRPr="00C14A6B">
        <w:t xml:space="preserve">equest that </w:t>
      </w:r>
      <w:r>
        <w:t xml:space="preserve">a </w:t>
      </w:r>
      <w:r w:rsidR="00C14A6B" w:rsidRPr="00C14A6B">
        <w:t>student</w:t>
      </w:r>
      <w:r>
        <w:t xml:space="preserve"> behaving inappropriately</w:t>
      </w:r>
      <w:r w:rsidR="00C14A6B" w:rsidRPr="00C14A6B">
        <w:t xml:space="preserve"> leave the classroom </w:t>
      </w:r>
    </w:p>
    <w:p w14:paraId="58011228" w14:textId="28C7AEDA" w:rsidR="00C14A6B" w:rsidRPr="00C14A6B" w:rsidRDefault="006D49EB" w:rsidP="00CC32B6">
      <w:pPr>
        <w:numPr>
          <w:ilvl w:val="0"/>
          <w:numId w:val="35"/>
        </w:numPr>
        <w:ind w:left="720"/>
      </w:pPr>
      <w:r>
        <w:t>p</w:t>
      </w:r>
      <w:r w:rsidR="00C14A6B" w:rsidRPr="00C14A6B">
        <w:t xml:space="preserve">rovide </w:t>
      </w:r>
      <w:proofErr w:type="spellStart"/>
      <w:r w:rsidR="007308C4">
        <w:t>individualised</w:t>
      </w:r>
      <w:proofErr w:type="spellEnd"/>
      <w:r w:rsidR="007308C4" w:rsidRPr="00C14A6B">
        <w:t xml:space="preserve"> </w:t>
      </w:r>
      <w:r w:rsidR="00C14A6B" w:rsidRPr="00C14A6B">
        <w:t>and tailored support to students who are distressed or dysregulated</w:t>
      </w:r>
    </w:p>
    <w:p w14:paraId="3C226298" w14:textId="19D2187C" w:rsidR="00C14A6B" w:rsidRPr="00C14A6B" w:rsidRDefault="006D49EB" w:rsidP="00CC32B6">
      <w:pPr>
        <w:numPr>
          <w:ilvl w:val="0"/>
          <w:numId w:val="35"/>
        </w:numPr>
        <w:ind w:left="720"/>
      </w:pPr>
      <w:r>
        <w:t>e</w:t>
      </w:r>
      <w:r w:rsidR="00C14A6B" w:rsidRPr="00C14A6B">
        <w:t xml:space="preserve">ngage students and families in appropriate and </w:t>
      </w:r>
      <w:proofErr w:type="spellStart"/>
      <w:r w:rsidR="00C14A6B" w:rsidRPr="00C14A6B">
        <w:t>organised</w:t>
      </w:r>
      <w:proofErr w:type="spellEnd"/>
      <w:r w:rsidR="00C14A6B" w:rsidRPr="00C14A6B">
        <w:t xml:space="preserve"> outreach</w:t>
      </w:r>
    </w:p>
    <w:p w14:paraId="0E2D47CD" w14:textId="77777777" w:rsidR="00C14A6B" w:rsidRPr="00C14A6B" w:rsidRDefault="00C14A6B" w:rsidP="00C14A6B">
      <w:pPr>
        <w:rPr>
          <w:b/>
        </w:rPr>
      </w:pPr>
    </w:p>
    <w:p w14:paraId="7A282A22" w14:textId="77777777" w:rsidR="00C14A6B" w:rsidRPr="00C14A6B" w:rsidRDefault="00C14A6B" w:rsidP="00C14A6B">
      <w:pPr>
        <w:pStyle w:val="Heading3"/>
      </w:pPr>
      <w:bookmarkStart w:id="3" w:name="_Toc88142195"/>
      <w:r w:rsidRPr="00C14A6B">
        <w:t>Relevant Legislation &amp; Documents</w:t>
      </w:r>
      <w:bookmarkEnd w:id="3"/>
    </w:p>
    <w:p w14:paraId="3547CB9E" w14:textId="330EE701" w:rsidR="00FA63E3" w:rsidRPr="00C14A6B" w:rsidRDefault="00FA63E3" w:rsidP="00484BE8">
      <w:pPr>
        <w:pStyle w:val="ListParagraph"/>
        <w:numPr>
          <w:ilvl w:val="0"/>
          <w:numId w:val="42"/>
        </w:numPr>
      </w:pPr>
      <w:r>
        <w:t xml:space="preserve">DET </w:t>
      </w:r>
      <w:r w:rsidRPr="00C14A6B">
        <w:t>Education and Training Reform Act 2006</w:t>
      </w:r>
    </w:p>
    <w:p w14:paraId="1E5B43D8" w14:textId="77777777" w:rsidR="00FA63E3" w:rsidRPr="00C14A6B" w:rsidRDefault="00FA63E3" w:rsidP="00484BE8">
      <w:pPr>
        <w:pStyle w:val="ListParagraph"/>
        <w:numPr>
          <w:ilvl w:val="0"/>
          <w:numId w:val="42"/>
        </w:numPr>
      </w:pPr>
      <w:r w:rsidRPr="00C14A6B">
        <w:t>Victorian Institute of Teaching (VIT)</w:t>
      </w:r>
      <w:r>
        <w:t xml:space="preserve"> - </w:t>
      </w:r>
      <w:r w:rsidRPr="00C14A6B">
        <w:t>Victorian Teaching Profession Codes of Conducts and Ethics</w:t>
      </w:r>
    </w:p>
    <w:p w14:paraId="2E4667F9" w14:textId="77777777" w:rsidR="00FA63E3" w:rsidRPr="00C14A6B" w:rsidRDefault="00FA63E3" w:rsidP="00484BE8">
      <w:pPr>
        <w:pStyle w:val="ListParagraph"/>
        <w:numPr>
          <w:ilvl w:val="0"/>
          <w:numId w:val="42"/>
        </w:numPr>
      </w:pPr>
      <w:r w:rsidRPr="00C14A6B">
        <w:t>Child Wellbeing and Safety Act 2005</w:t>
      </w:r>
    </w:p>
    <w:p w14:paraId="5E0F7F44" w14:textId="77777777" w:rsidR="00FA63E3" w:rsidRPr="00C14A6B" w:rsidRDefault="00FA63E3" w:rsidP="00484BE8">
      <w:pPr>
        <w:pStyle w:val="ListParagraph"/>
        <w:numPr>
          <w:ilvl w:val="0"/>
          <w:numId w:val="42"/>
        </w:numPr>
      </w:pPr>
      <w:r w:rsidRPr="00C14A6B">
        <w:t>Child Wellbeing and Safety Regulation 2007</w:t>
      </w:r>
    </w:p>
    <w:p w14:paraId="13923C4E" w14:textId="77777777" w:rsidR="00FA63E3" w:rsidRPr="00C14A6B" w:rsidRDefault="00FA63E3" w:rsidP="00484BE8">
      <w:pPr>
        <w:pStyle w:val="ListParagraph"/>
        <w:numPr>
          <w:ilvl w:val="0"/>
          <w:numId w:val="42"/>
        </w:numPr>
      </w:pPr>
      <w:r w:rsidRPr="00C14A6B">
        <w:t>Working with Children Act 2005</w:t>
      </w:r>
    </w:p>
    <w:p w14:paraId="6C2045B0" w14:textId="77777777" w:rsidR="00FA63E3" w:rsidRPr="00C14A6B" w:rsidRDefault="00FA63E3" w:rsidP="00484BE8">
      <w:pPr>
        <w:pStyle w:val="ListParagraph"/>
        <w:numPr>
          <w:ilvl w:val="0"/>
          <w:numId w:val="42"/>
        </w:numPr>
      </w:pPr>
      <w:r w:rsidRPr="00C14A6B">
        <w:t>Equal Opportunity Act 2010</w:t>
      </w:r>
    </w:p>
    <w:p w14:paraId="2D1E6A79" w14:textId="77777777" w:rsidR="00FA63E3" w:rsidRPr="00C14A6B" w:rsidRDefault="00FA63E3" w:rsidP="00484BE8">
      <w:pPr>
        <w:pStyle w:val="ListParagraph"/>
        <w:numPr>
          <w:ilvl w:val="0"/>
          <w:numId w:val="42"/>
        </w:numPr>
      </w:pPr>
      <w:r w:rsidRPr="00C14A6B">
        <w:t>Information Privacy Act 2000</w:t>
      </w:r>
    </w:p>
    <w:p w14:paraId="02E76F6A" w14:textId="77777777" w:rsidR="00FA63E3" w:rsidRPr="00C14A6B" w:rsidRDefault="00FA63E3" w:rsidP="00484BE8">
      <w:pPr>
        <w:pStyle w:val="ListParagraph"/>
        <w:numPr>
          <w:ilvl w:val="0"/>
          <w:numId w:val="42"/>
        </w:numPr>
      </w:pPr>
      <w:r w:rsidRPr="00C14A6B">
        <w:t>Commission for Children and Young People Act 2012</w:t>
      </w:r>
    </w:p>
    <w:p w14:paraId="03A9E59E" w14:textId="77777777" w:rsidR="00FA63E3" w:rsidRPr="00C14A6B" w:rsidRDefault="00FA63E3" w:rsidP="00484BE8">
      <w:pPr>
        <w:pStyle w:val="ListParagraph"/>
        <w:numPr>
          <w:ilvl w:val="0"/>
          <w:numId w:val="42"/>
        </w:numPr>
      </w:pPr>
      <w:r w:rsidRPr="00C14A6B">
        <w:t>Child Safety Policy</w:t>
      </w:r>
    </w:p>
    <w:p w14:paraId="27DA830B" w14:textId="77777777" w:rsidR="00FA63E3" w:rsidRPr="00C14A6B" w:rsidRDefault="00FA63E3" w:rsidP="00484BE8">
      <w:pPr>
        <w:pStyle w:val="ListParagraph"/>
        <w:numPr>
          <w:ilvl w:val="0"/>
          <w:numId w:val="42"/>
        </w:numPr>
      </w:pPr>
      <w:r w:rsidRPr="00C14A6B">
        <w:t xml:space="preserve">Office of the </w:t>
      </w:r>
      <w:proofErr w:type="spellStart"/>
      <w:r w:rsidRPr="00C14A6B">
        <w:t>eSafety</w:t>
      </w:r>
      <w:proofErr w:type="spellEnd"/>
      <w:r w:rsidRPr="00C14A6B">
        <w:t xml:space="preserve"> Commissioner</w:t>
      </w:r>
      <w:r>
        <w:t xml:space="preserve"> - </w:t>
      </w:r>
      <w:hyperlink r:id="rId8" w:history="1">
        <w:r w:rsidRPr="00C14A6B">
          <w:rPr>
            <w:rStyle w:val="Hyperlink"/>
          </w:rPr>
          <w:t>https://www.esafety.gov.au/esafety-information</w:t>
        </w:r>
      </w:hyperlink>
    </w:p>
    <w:p w14:paraId="04E200A7" w14:textId="77777777" w:rsidR="00FA63E3" w:rsidRPr="00C14A6B" w:rsidRDefault="00FA63E3" w:rsidP="00484BE8">
      <w:pPr>
        <w:pStyle w:val="ListParagraph"/>
        <w:numPr>
          <w:ilvl w:val="0"/>
          <w:numId w:val="42"/>
        </w:numPr>
      </w:pPr>
      <w:r w:rsidRPr="00C14A6B">
        <w:t>Victorian Registration and Qualifications Authority</w:t>
      </w:r>
      <w:r>
        <w:t xml:space="preserve"> - </w:t>
      </w:r>
      <w:r w:rsidRPr="00C14A6B">
        <w:t>Child Safety Standard 3: Child Safety Code of Conduct</w:t>
      </w:r>
    </w:p>
    <w:p w14:paraId="6D3FABB8" w14:textId="77777777" w:rsidR="00FA63E3" w:rsidRPr="00C14A6B" w:rsidRDefault="00FA63E3" w:rsidP="00FA63E3">
      <w:r w:rsidRPr="00C14A6B">
        <w:t>Universal Declaration of Human Rights</w:t>
      </w:r>
    </w:p>
    <w:p w14:paraId="3EAB9802" w14:textId="77777777" w:rsidR="00FA63E3" w:rsidRDefault="00FA63E3" w:rsidP="00FA63E3"/>
    <w:p w14:paraId="57F36502" w14:textId="7CC1F9A4" w:rsidR="00FA63E3" w:rsidRPr="00E57886" w:rsidRDefault="00FA63E3" w:rsidP="00FA63E3">
      <w:pPr>
        <w:pStyle w:val="Heading2"/>
        <w:rPr>
          <w:rFonts w:ascii="Franklin Gothic Book" w:hAnsi="Franklin Gothic Book"/>
          <w:sz w:val="24"/>
          <w:szCs w:val="24"/>
        </w:rPr>
      </w:pPr>
      <w:bookmarkStart w:id="4" w:name="_Toc73515368"/>
      <w:bookmarkStart w:id="5" w:name="_Toc73531835"/>
      <w:bookmarkStart w:id="6" w:name="_Toc88142196"/>
      <w:r w:rsidRPr="00506155">
        <w:t xml:space="preserve">Review </w:t>
      </w:r>
      <w:bookmarkEnd w:id="4"/>
      <w:bookmarkEnd w:id="5"/>
      <w:bookmarkEnd w:id="6"/>
      <w:r w:rsidR="00484BE8">
        <w:t xml:space="preserve">cycle and Approval </w:t>
      </w:r>
      <w:r w:rsidRPr="00506155">
        <w:t xml:space="preserve"> </w:t>
      </w:r>
    </w:p>
    <w:p w14:paraId="2F76E73A" w14:textId="01DEA344" w:rsidR="00FA63E3" w:rsidRPr="00E57886" w:rsidRDefault="00FA63E3" w:rsidP="00FA63E3">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sidR="00484BE8">
        <w:rPr>
          <w:rFonts w:ascii="Franklin Gothic Book" w:eastAsia="Times New Roman" w:hAnsi="Franklin Gothic Book" w:cstheme="minorHAnsi"/>
          <w:color w:val="202020"/>
          <w:lang w:eastAsia="en-AU"/>
        </w:rPr>
        <w:t>June</w:t>
      </w:r>
      <w:r>
        <w:rPr>
          <w:rFonts w:ascii="Franklin Gothic Book" w:eastAsia="Times New Roman" w:hAnsi="Franklin Gothic Book" w:cstheme="minorHAnsi"/>
          <w:color w:val="202020"/>
          <w:lang w:eastAsia="en-AU"/>
        </w:rPr>
        <w:t xml:space="preserve"> 202</w:t>
      </w:r>
      <w:r w:rsidR="00484BE8">
        <w:rPr>
          <w:rFonts w:ascii="Franklin Gothic Book" w:eastAsia="Times New Roman" w:hAnsi="Franklin Gothic Book" w:cstheme="minorHAnsi"/>
          <w:color w:val="202020"/>
          <w:lang w:eastAsia="en-AU"/>
        </w:rPr>
        <w:t>2</w:t>
      </w:r>
      <w:r w:rsidRPr="00E57886">
        <w:rPr>
          <w:rFonts w:ascii="Franklin Gothic Book" w:eastAsia="Times New Roman" w:hAnsi="Franklin Gothic Book" w:cstheme="minorHAnsi"/>
          <w:color w:val="202020"/>
          <w:lang w:eastAsia="en-AU"/>
        </w:rPr>
        <w:t xml:space="preserve"> and is scheduled for review in </w:t>
      </w:r>
      <w:r w:rsidR="00484BE8">
        <w:rPr>
          <w:rFonts w:ascii="Franklin Gothic Book" w:eastAsia="Times New Roman" w:hAnsi="Franklin Gothic Book" w:cstheme="minorHAnsi"/>
          <w:color w:val="202020"/>
          <w:lang w:eastAsia="en-AU"/>
        </w:rPr>
        <w:t>June</w:t>
      </w:r>
      <w:r>
        <w:rPr>
          <w:rFonts w:ascii="Franklin Gothic Book" w:eastAsia="Times New Roman" w:hAnsi="Franklin Gothic Book" w:cstheme="minorHAnsi"/>
          <w:color w:val="202020"/>
          <w:lang w:eastAsia="en-AU"/>
        </w:rPr>
        <w:t xml:space="preserve"> 2025</w:t>
      </w:r>
      <w:r w:rsidRPr="00E57886">
        <w:rPr>
          <w:rFonts w:ascii="Franklin Gothic Book" w:eastAsia="Times New Roman" w:hAnsi="Franklin Gothic Book" w:cstheme="minorHAnsi"/>
          <w:color w:val="202020"/>
          <w:lang w:eastAsia="en-AU"/>
        </w:rPr>
        <w:t xml:space="preserve">. </w:t>
      </w:r>
    </w:p>
    <w:p w14:paraId="46597117" w14:textId="77777777" w:rsidR="00484BE8" w:rsidRDefault="00484BE8" w:rsidP="00484BE8"/>
    <w:p w14:paraId="38930CE7" w14:textId="4D7CC334" w:rsidR="00484BE8" w:rsidRDefault="00484BE8" w:rsidP="00484BE8">
      <w:r>
        <w:t>Consultation on this policy is mandatory. Consultation has occurred with the following:</w:t>
      </w:r>
    </w:p>
    <w:p w14:paraId="7C62CB5D" w14:textId="77777777" w:rsidR="00484BE8" w:rsidRDefault="00484BE8" w:rsidP="00484BE8">
      <w:pPr>
        <w:pStyle w:val="ListParagraph"/>
        <w:numPr>
          <w:ilvl w:val="0"/>
          <w:numId w:val="43"/>
        </w:numPr>
      </w:pPr>
      <w:r>
        <w:t>Youth Leadership Councils – June 2022</w:t>
      </w:r>
    </w:p>
    <w:p w14:paraId="752099A1" w14:textId="575C7DFE" w:rsidR="00484BE8" w:rsidRDefault="00484BE8" w:rsidP="00484BE8">
      <w:pPr>
        <w:pStyle w:val="ListParagraph"/>
        <w:numPr>
          <w:ilvl w:val="0"/>
          <w:numId w:val="43"/>
        </w:numPr>
      </w:pPr>
      <w:r>
        <w:t>School Council – November 2021 &amp; June 2022</w:t>
      </w:r>
    </w:p>
    <w:p w14:paraId="5300A5D0" w14:textId="77777777" w:rsidR="00C14A6B" w:rsidRPr="00C14A6B" w:rsidRDefault="00C14A6B" w:rsidP="00C14A6B"/>
    <w:sectPr w:rsidR="00C14A6B" w:rsidRPr="00C14A6B" w:rsidSect="00AD5A7A">
      <w:headerReference w:type="default" r:id="rId9"/>
      <w:footerReference w:type="default" r:id="rId10"/>
      <w:headerReference w:type="first" r:id="rId11"/>
      <w:footerReference w:type="first" r:id="rId12"/>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B9E2" w14:textId="77777777" w:rsidR="002E4171" w:rsidRDefault="002E4171" w:rsidP="00E8727F">
      <w:r>
        <w:separator/>
      </w:r>
    </w:p>
  </w:endnote>
  <w:endnote w:type="continuationSeparator" w:id="0">
    <w:p w14:paraId="12533E41" w14:textId="77777777" w:rsidR="002E4171" w:rsidRDefault="002E4171"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Myanmar MN">
    <w:altName w:val="Myanmar Text"/>
    <w:charset w:val="00"/>
    <w:family w:val="auto"/>
    <w:pitch w:val="variable"/>
    <w:sig w:usb0="80100003" w:usb1="0000204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960" w14:textId="3DA3AA82" w:rsidR="00692D6B" w:rsidRPr="00B5267E" w:rsidRDefault="00692D6B" w:rsidP="00B5267E">
    <w:pPr>
      <w:jc w:val="right"/>
    </w:pPr>
    <w:r w:rsidRPr="00B5267E">
      <w:t xml:space="preserve"> </w:t>
    </w:r>
    <w:r w:rsidRPr="00B5267E">
      <w:fldChar w:fldCharType="begin"/>
    </w:r>
    <w:r w:rsidRPr="00B5267E">
      <w:instrText xml:space="preserve"> PAGE </w:instrText>
    </w:r>
    <w:r w:rsidRPr="00B5267E">
      <w:fldChar w:fldCharType="separate"/>
    </w:r>
    <w:r w:rsidR="00311764">
      <w:rPr>
        <w:noProof/>
      </w:rPr>
      <w:t>6</w:t>
    </w:r>
    <w:r w:rsidRPr="00B5267E">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E78E" w14:textId="4602952F" w:rsidR="00692D6B" w:rsidRDefault="00692D6B" w:rsidP="00BA44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764">
      <w:rPr>
        <w:rStyle w:val="PageNumber"/>
        <w:noProof/>
      </w:rPr>
      <w:t>1</w:t>
    </w:r>
    <w:r>
      <w:rPr>
        <w:rStyle w:val="PageNumber"/>
      </w:rPr>
      <w:fldChar w:fldCharType="end"/>
    </w:r>
  </w:p>
  <w:p w14:paraId="6E14F784" w14:textId="77777777" w:rsidR="00692D6B" w:rsidRDefault="00692D6B"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ED06" w14:textId="77777777" w:rsidR="002E4171" w:rsidRDefault="002E4171" w:rsidP="00E8727F">
      <w:r>
        <w:separator/>
      </w:r>
    </w:p>
  </w:footnote>
  <w:footnote w:type="continuationSeparator" w:id="0">
    <w:p w14:paraId="14100205" w14:textId="77777777" w:rsidR="002E4171" w:rsidRDefault="002E4171"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18A" w14:textId="77777777" w:rsidR="00692D6B" w:rsidRDefault="00692D6B">
    <w:pPr>
      <w:pStyle w:val="Header"/>
    </w:pPr>
    <w:r>
      <w:rPr>
        <w:noProof/>
        <w:lang w:val="en-AU" w:eastAsia="en-AU"/>
      </w:rPr>
      <w:drawing>
        <wp:anchor distT="0" distB="0" distL="114300" distR="114300" simplePos="0" relativeHeight="251659264" behindDoc="1" locked="0" layoutInCell="1" allowOverlap="1" wp14:anchorId="2FFA1907" wp14:editId="289F00A1">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692D6B" w14:paraId="3D085913"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605017C" w14:textId="77777777" w:rsidR="00692D6B" w:rsidRPr="00660648" w:rsidRDefault="00692D6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3916DC25" w14:textId="77777777" w:rsidR="00692D6B" w:rsidRPr="00EB3E16" w:rsidRDefault="00692D6B"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692D6B" w14:paraId="3C2FA718"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44DFB62" w14:textId="77777777" w:rsidR="00692D6B" w:rsidRPr="00660648" w:rsidRDefault="00692D6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3EB18B09" w14:textId="77777777" w:rsidR="00692D6B" w:rsidRPr="00EB3E16" w:rsidRDefault="00692D6B"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692D6B" w14:paraId="7E838856"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B2A20DC" w14:textId="77777777" w:rsidR="00692D6B" w:rsidRPr="00660648" w:rsidRDefault="00692D6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6A3B42EE" w14:textId="00FF1571" w:rsidR="00692D6B" w:rsidRDefault="003526A7" w:rsidP="00660648">
          <w:pPr>
            <w:pStyle w:val="Header"/>
            <w:cnfStyle w:val="000000000000" w:firstRow="0" w:lastRow="0" w:firstColumn="0" w:lastColumn="0" w:oddVBand="0" w:evenVBand="0" w:oddHBand="0" w:evenHBand="0" w:firstRowFirstColumn="0" w:firstRowLastColumn="0" w:lastRowFirstColumn="0" w:lastRowLastColumn="0"/>
          </w:pPr>
          <w:r>
            <w:t>May 2020</w:t>
          </w:r>
        </w:p>
      </w:tc>
    </w:tr>
    <w:tr w:rsidR="00692D6B" w14:paraId="78D3D646"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7125051" w14:textId="77777777" w:rsidR="00692D6B" w:rsidRPr="00660648" w:rsidRDefault="00692D6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349FFDAE" w14:textId="14C15EFE" w:rsidR="00692D6B" w:rsidRDefault="005E1FF9" w:rsidP="00660648">
          <w:pPr>
            <w:pStyle w:val="Header"/>
            <w:cnfStyle w:val="000000100000" w:firstRow="0" w:lastRow="0" w:firstColumn="0" w:lastColumn="0" w:oddVBand="0" w:evenVBand="0" w:oddHBand="1" w:evenHBand="0" w:firstRowFirstColumn="0" w:firstRowLastColumn="0" w:lastRowFirstColumn="0" w:lastRowLastColumn="0"/>
          </w:pPr>
          <w:r>
            <w:t>June 2022</w:t>
          </w:r>
        </w:p>
      </w:tc>
    </w:tr>
    <w:tr w:rsidR="00692D6B" w14:paraId="44296268"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1D02201" w14:textId="77777777" w:rsidR="00692D6B" w:rsidRPr="00660648" w:rsidRDefault="00692D6B"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Date Endorsed by School Council</w:t>
          </w:r>
        </w:p>
      </w:tc>
      <w:tc>
        <w:tcPr>
          <w:tcW w:w="2693" w:type="dxa"/>
        </w:tcPr>
        <w:p w14:paraId="58B573D4" w14:textId="5F6CCC9F" w:rsidR="00692D6B" w:rsidRPr="00EB3E16" w:rsidRDefault="005E1FF9" w:rsidP="00660648">
          <w:pPr>
            <w:pStyle w:val="Header"/>
            <w:cnfStyle w:val="000000000000" w:firstRow="0" w:lastRow="0" w:firstColumn="0" w:lastColumn="0" w:oddVBand="0" w:evenVBand="0" w:oddHBand="0" w:evenHBand="0" w:firstRowFirstColumn="0" w:firstRowLastColumn="0" w:lastRowFirstColumn="0" w:lastRowLastColumn="0"/>
          </w:pPr>
          <w:r>
            <w:t>June 2022</w:t>
          </w:r>
        </w:p>
      </w:tc>
    </w:tr>
  </w:tbl>
  <w:p w14:paraId="02B11A2F" w14:textId="77777777" w:rsidR="00692D6B" w:rsidRDefault="00692D6B">
    <w:pPr>
      <w:pStyle w:val="Header"/>
    </w:pPr>
    <w:r>
      <w:rPr>
        <w:noProof/>
        <w:lang w:val="en-AU" w:eastAsia="en-AU"/>
      </w:rPr>
      <w:drawing>
        <wp:anchor distT="0" distB="0" distL="114300" distR="114300" simplePos="0" relativeHeight="251658240" behindDoc="1" locked="0" layoutInCell="1" allowOverlap="1" wp14:anchorId="76E7E738" wp14:editId="399E3B2B">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6E24AB"/>
    <w:multiLevelType w:val="hybridMultilevel"/>
    <w:tmpl w:val="F4982D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E1AE4"/>
    <w:multiLevelType w:val="hybridMultilevel"/>
    <w:tmpl w:val="A95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B17BF"/>
    <w:multiLevelType w:val="hybridMultilevel"/>
    <w:tmpl w:val="5ABA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F8403B"/>
    <w:multiLevelType w:val="hybridMultilevel"/>
    <w:tmpl w:val="9A5E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50031D"/>
    <w:multiLevelType w:val="hybridMultilevel"/>
    <w:tmpl w:val="FA3A28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45B74FB"/>
    <w:multiLevelType w:val="hybridMultilevel"/>
    <w:tmpl w:val="C6A640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3336E3B"/>
    <w:multiLevelType w:val="hybridMultilevel"/>
    <w:tmpl w:val="3AD67BB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146"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4E5021"/>
    <w:multiLevelType w:val="hybridMultilevel"/>
    <w:tmpl w:val="248C5034"/>
    <w:lvl w:ilvl="0" w:tplc="86480362">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0"/>
  </w:num>
  <w:num w:numId="10">
    <w:abstractNumId w:val="33"/>
  </w:num>
  <w:num w:numId="11">
    <w:abstractNumId w:val="25"/>
  </w:num>
  <w:num w:numId="12">
    <w:abstractNumId w:val="16"/>
  </w:num>
  <w:num w:numId="13">
    <w:abstractNumId w:val="14"/>
  </w:num>
  <w:num w:numId="14">
    <w:abstractNumId w:val="5"/>
  </w:num>
  <w:num w:numId="15">
    <w:abstractNumId w:val="7"/>
  </w:num>
  <w:num w:numId="16">
    <w:abstractNumId w:val="29"/>
  </w:num>
  <w:num w:numId="17">
    <w:abstractNumId w:val="15"/>
  </w:num>
  <w:num w:numId="18">
    <w:abstractNumId w:val="12"/>
  </w:num>
  <w:num w:numId="19">
    <w:abstractNumId w:val="30"/>
  </w:num>
  <w:num w:numId="20">
    <w:abstractNumId w:val="2"/>
    <w:lvlOverride w:ilvl="0">
      <w:startOverride w:val="1"/>
    </w:lvlOverride>
  </w:num>
  <w:num w:numId="21">
    <w:abstractNumId w:val="32"/>
  </w:num>
  <w:num w:numId="22">
    <w:abstractNumId w:val="31"/>
  </w:num>
  <w:num w:numId="23">
    <w:abstractNumId w:val="23"/>
  </w:num>
  <w:num w:numId="24">
    <w:abstractNumId w:val="28"/>
  </w:num>
  <w:num w:numId="25">
    <w:abstractNumId w:val="4"/>
  </w:num>
  <w:num w:numId="26">
    <w:abstractNumId w:val="17"/>
  </w:num>
  <w:num w:numId="27">
    <w:abstractNumId w:val="8"/>
  </w:num>
  <w:num w:numId="28">
    <w:abstractNumId w:val="24"/>
  </w:num>
  <w:num w:numId="29">
    <w:abstractNumId w:val="27"/>
  </w:num>
  <w:num w:numId="30">
    <w:abstractNumId w:val="19"/>
  </w:num>
  <w:num w:numId="31">
    <w:abstractNumId w:val="6"/>
  </w:num>
  <w:num w:numId="32">
    <w:abstractNumId w:val="18"/>
  </w:num>
  <w:num w:numId="33">
    <w:abstractNumId w:val="21"/>
  </w:num>
  <w:num w:numId="34">
    <w:abstractNumId w:val="10"/>
  </w:num>
  <w:num w:numId="35">
    <w:abstractNumId w:val="13"/>
  </w:num>
  <w:num w:numId="36">
    <w:abstractNumId w:val="22"/>
  </w:num>
  <w:num w:numId="37">
    <w:abstractNumId w:val="26"/>
  </w:num>
  <w:num w:numId="38">
    <w:abstractNumId w:val="30"/>
  </w:num>
  <w:num w:numId="39">
    <w:abstractNumId w:val="30"/>
  </w:num>
  <w:num w:numId="40">
    <w:abstractNumId w:val="30"/>
  </w:num>
  <w:num w:numId="41">
    <w:abstractNumId w:val="30"/>
  </w:num>
  <w:num w:numId="42">
    <w:abstractNumId w:val="1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30216"/>
    <w:rsid w:val="00074EDE"/>
    <w:rsid w:val="000A50EA"/>
    <w:rsid w:val="00114FC7"/>
    <w:rsid w:val="001417E0"/>
    <w:rsid w:val="001D2BAE"/>
    <w:rsid w:val="0021346D"/>
    <w:rsid w:val="00244A4D"/>
    <w:rsid w:val="002A7901"/>
    <w:rsid w:val="002B24C8"/>
    <w:rsid w:val="002C1B8F"/>
    <w:rsid w:val="002D2BF5"/>
    <w:rsid w:val="002E4171"/>
    <w:rsid w:val="00311764"/>
    <w:rsid w:val="003526A7"/>
    <w:rsid w:val="00391CBB"/>
    <w:rsid w:val="00470A59"/>
    <w:rsid w:val="00484BE8"/>
    <w:rsid w:val="00572623"/>
    <w:rsid w:val="00573BF2"/>
    <w:rsid w:val="005842AE"/>
    <w:rsid w:val="005E1FF9"/>
    <w:rsid w:val="0060364E"/>
    <w:rsid w:val="00641124"/>
    <w:rsid w:val="00660648"/>
    <w:rsid w:val="0066260C"/>
    <w:rsid w:val="00692D6B"/>
    <w:rsid w:val="006B2929"/>
    <w:rsid w:val="006D0790"/>
    <w:rsid w:val="006D49EB"/>
    <w:rsid w:val="006D5721"/>
    <w:rsid w:val="006F17F5"/>
    <w:rsid w:val="0070168C"/>
    <w:rsid w:val="007308C4"/>
    <w:rsid w:val="007546D1"/>
    <w:rsid w:val="007B2B68"/>
    <w:rsid w:val="007B364C"/>
    <w:rsid w:val="007E0962"/>
    <w:rsid w:val="00893459"/>
    <w:rsid w:val="00A328A0"/>
    <w:rsid w:val="00A72768"/>
    <w:rsid w:val="00A86860"/>
    <w:rsid w:val="00AD5A7A"/>
    <w:rsid w:val="00B5267E"/>
    <w:rsid w:val="00B823B9"/>
    <w:rsid w:val="00B977A7"/>
    <w:rsid w:val="00BA44AA"/>
    <w:rsid w:val="00BE6CF4"/>
    <w:rsid w:val="00BE6FAA"/>
    <w:rsid w:val="00C14A6B"/>
    <w:rsid w:val="00C16AE2"/>
    <w:rsid w:val="00C838CC"/>
    <w:rsid w:val="00C9411C"/>
    <w:rsid w:val="00CC32B6"/>
    <w:rsid w:val="00CC3429"/>
    <w:rsid w:val="00D3718E"/>
    <w:rsid w:val="00E2623D"/>
    <w:rsid w:val="00E42348"/>
    <w:rsid w:val="00E70419"/>
    <w:rsid w:val="00E8727F"/>
    <w:rsid w:val="00EB3E16"/>
    <w:rsid w:val="00EC68E0"/>
    <w:rsid w:val="00F36940"/>
    <w:rsid w:val="00F550A0"/>
    <w:rsid w:val="00FA63E3"/>
    <w:rsid w:val="00FF6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1BB68"/>
  <w14:defaultImageDpi w14:val="32767"/>
  <w15:docId w15:val="{CAE06E85-DB8F-400F-BA89-6E9C8893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C14A6B"/>
    <w:rPr>
      <w:color w:val="605E5C"/>
      <w:shd w:val="clear" w:color="auto" w:fill="E1DFDD"/>
    </w:rPr>
  </w:style>
  <w:style w:type="paragraph" w:styleId="BalloonText">
    <w:name w:val="Balloon Text"/>
    <w:basedOn w:val="Normal"/>
    <w:link w:val="BalloonTextChar"/>
    <w:uiPriority w:val="99"/>
    <w:semiHidden/>
    <w:unhideWhenUsed/>
    <w:rsid w:val="00662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0C"/>
    <w:rPr>
      <w:rFonts w:ascii="Segoe UI" w:hAnsi="Segoe UI" w:cs="Segoe UI"/>
      <w:sz w:val="18"/>
      <w:szCs w:val="18"/>
      <w:lang w:val="en-US"/>
    </w:rPr>
  </w:style>
  <w:style w:type="character" w:styleId="CommentReference">
    <w:name w:val="annotation reference"/>
    <w:basedOn w:val="DefaultParagraphFont"/>
    <w:uiPriority w:val="99"/>
    <w:semiHidden/>
    <w:unhideWhenUsed/>
    <w:rsid w:val="00692D6B"/>
    <w:rPr>
      <w:sz w:val="18"/>
      <w:szCs w:val="18"/>
    </w:rPr>
  </w:style>
  <w:style w:type="paragraph" w:styleId="CommentText">
    <w:name w:val="annotation text"/>
    <w:basedOn w:val="Normal"/>
    <w:link w:val="CommentTextChar"/>
    <w:uiPriority w:val="99"/>
    <w:semiHidden/>
    <w:unhideWhenUsed/>
    <w:rsid w:val="00692D6B"/>
  </w:style>
  <w:style w:type="character" w:customStyle="1" w:styleId="CommentTextChar">
    <w:name w:val="Comment Text Char"/>
    <w:basedOn w:val="DefaultParagraphFont"/>
    <w:link w:val="CommentText"/>
    <w:uiPriority w:val="99"/>
    <w:semiHidden/>
    <w:rsid w:val="00692D6B"/>
    <w:rPr>
      <w:lang w:val="en-US"/>
    </w:rPr>
  </w:style>
  <w:style w:type="paragraph" w:styleId="CommentSubject">
    <w:name w:val="annotation subject"/>
    <w:basedOn w:val="CommentText"/>
    <w:next w:val="CommentText"/>
    <w:link w:val="CommentSubjectChar"/>
    <w:uiPriority w:val="99"/>
    <w:semiHidden/>
    <w:unhideWhenUsed/>
    <w:rsid w:val="00692D6B"/>
    <w:rPr>
      <w:b/>
      <w:bCs/>
      <w:sz w:val="20"/>
      <w:szCs w:val="20"/>
    </w:rPr>
  </w:style>
  <w:style w:type="character" w:customStyle="1" w:styleId="CommentSubjectChar">
    <w:name w:val="Comment Subject Char"/>
    <w:basedOn w:val="CommentTextChar"/>
    <w:link w:val="CommentSubject"/>
    <w:uiPriority w:val="99"/>
    <w:semiHidden/>
    <w:rsid w:val="00692D6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gov.au/esafety-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EAFE-C379-423D-BF1A-44B8A19C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3</cp:revision>
  <dcterms:created xsi:type="dcterms:W3CDTF">2022-06-06T02:18:00Z</dcterms:created>
  <dcterms:modified xsi:type="dcterms:W3CDTF">2023-02-15T00:06:00Z</dcterms:modified>
</cp:coreProperties>
</file>