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C44C6" w14:textId="77777777" w:rsidR="0070168C" w:rsidRPr="0084450B" w:rsidRDefault="0070168C" w:rsidP="00E8727F">
      <w:pPr>
        <w:rPr>
          <w:sz w:val="22"/>
          <w:szCs w:val="22"/>
          <w:lang w:val="en-AU"/>
        </w:rPr>
      </w:pPr>
    </w:p>
    <w:p w14:paraId="0087471C" w14:textId="77777777" w:rsidR="0070168C" w:rsidRPr="0084450B" w:rsidRDefault="0070168C" w:rsidP="00E8727F">
      <w:pPr>
        <w:rPr>
          <w:sz w:val="22"/>
          <w:szCs w:val="22"/>
          <w:lang w:val="en-AU"/>
        </w:rPr>
      </w:pPr>
    </w:p>
    <w:p w14:paraId="60BFB537" w14:textId="77777777" w:rsidR="0070168C" w:rsidRPr="0084450B" w:rsidRDefault="0070168C" w:rsidP="00E8727F">
      <w:pPr>
        <w:rPr>
          <w:sz w:val="22"/>
          <w:szCs w:val="22"/>
          <w:lang w:val="en-AU"/>
        </w:rPr>
      </w:pPr>
    </w:p>
    <w:p w14:paraId="3597FA17" w14:textId="33CB1820" w:rsidR="00660648" w:rsidRPr="0084450B" w:rsidRDefault="00F57CCA" w:rsidP="00F57CCA">
      <w:pPr>
        <w:pStyle w:val="Heading1"/>
        <w:rPr>
          <w:lang w:val="en-AU"/>
        </w:rPr>
      </w:pPr>
      <w:bookmarkStart w:id="0" w:name="_Toc97294791"/>
      <w:r w:rsidRPr="0084450B">
        <w:rPr>
          <w:lang w:val="en-AU"/>
        </w:rPr>
        <w:t>Parkville College</w:t>
      </w:r>
      <w:r w:rsidR="00484D25" w:rsidRPr="0084450B">
        <w:rPr>
          <w:lang w:val="en-AU"/>
        </w:rPr>
        <w:t xml:space="preserve"> Student</w:t>
      </w:r>
      <w:r w:rsidRPr="0084450B">
        <w:rPr>
          <w:lang w:val="en-AU"/>
        </w:rPr>
        <w:t xml:space="preserve"> Admissions and</w:t>
      </w:r>
      <w:r w:rsidR="00484D25" w:rsidRPr="0084450B">
        <w:rPr>
          <w:lang w:val="en-AU"/>
        </w:rPr>
        <w:t xml:space="preserve"> Enrolment</w:t>
      </w:r>
      <w:r w:rsidR="002D2BF5" w:rsidRPr="0084450B">
        <w:rPr>
          <w:lang w:val="en-AU"/>
        </w:rPr>
        <w:t xml:space="preserve"> </w:t>
      </w:r>
      <w:r w:rsidR="00660648" w:rsidRPr="0084450B">
        <w:rPr>
          <w:lang w:val="en-AU"/>
        </w:rPr>
        <w:t>Policy</w:t>
      </w:r>
      <w:bookmarkEnd w:id="0"/>
    </w:p>
    <w:p w14:paraId="4B9207EE" w14:textId="6AE68590" w:rsidR="00F57CCA" w:rsidRPr="0084450B" w:rsidRDefault="00F57CCA" w:rsidP="00F57CCA">
      <w:pPr>
        <w:rPr>
          <w:lang w:val="en-AU"/>
        </w:rPr>
      </w:pPr>
    </w:p>
    <w:sdt>
      <w:sdtPr>
        <w:rPr>
          <w:rFonts w:asciiTheme="minorHAnsi" w:eastAsiaTheme="minorHAnsi" w:hAnsiTheme="minorHAnsi" w:cstheme="minorBidi"/>
          <w:color w:val="auto"/>
          <w:sz w:val="24"/>
          <w:szCs w:val="24"/>
          <w:lang w:val="en-AU"/>
        </w:rPr>
        <w:id w:val="-1120611746"/>
        <w:docPartObj>
          <w:docPartGallery w:val="Table of Contents"/>
          <w:docPartUnique/>
        </w:docPartObj>
      </w:sdtPr>
      <w:sdtEndPr>
        <w:rPr>
          <w:b/>
          <w:bCs/>
        </w:rPr>
      </w:sdtEndPr>
      <w:sdtContent>
        <w:p w14:paraId="06415043" w14:textId="0669672B" w:rsidR="00F57CCA" w:rsidRPr="0084450B" w:rsidRDefault="00F57CCA">
          <w:pPr>
            <w:pStyle w:val="TOCHeading"/>
            <w:rPr>
              <w:lang w:val="en-AU"/>
            </w:rPr>
          </w:pPr>
          <w:r w:rsidRPr="0084450B">
            <w:rPr>
              <w:lang w:val="en-AU"/>
            </w:rPr>
            <w:t>Contents</w:t>
          </w:r>
        </w:p>
        <w:p w14:paraId="1705B1E1" w14:textId="3F70079E" w:rsidR="007273B2" w:rsidRDefault="00F57CCA">
          <w:pPr>
            <w:pStyle w:val="TOC1"/>
            <w:tabs>
              <w:tab w:val="right" w:leader="dot" w:pos="9108"/>
            </w:tabs>
            <w:rPr>
              <w:rFonts w:eastAsiaTheme="minorEastAsia"/>
              <w:noProof/>
              <w:sz w:val="22"/>
              <w:szCs w:val="22"/>
              <w:lang w:val="en-AU" w:eastAsia="en-AU"/>
            </w:rPr>
          </w:pPr>
          <w:r w:rsidRPr="0084450B">
            <w:rPr>
              <w:lang w:val="en-AU"/>
            </w:rPr>
            <w:fldChar w:fldCharType="begin"/>
          </w:r>
          <w:r w:rsidRPr="0084450B">
            <w:rPr>
              <w:lang w:val="en-AU"/>
            </w:rPr>
            <w:instrText xml:space="preserve"> TOC \o "1-3" \h \z \u </w:instrText>
          </w:r>
          <w:r w:rsidRPr="0084450B">
            <w:rPr>
              <w:lang w:val="en-AU"/>
            </w:rPr>
            <w:fldChar w:fldCharType="separate"/>
          </w:r>
          <w:hyperlink w:anchor="_Toc97294791" w:history="1">
            <w:r w:rsidR="007273B2" w:rsidRPr="00E73C06">
              <w:rPr>
                <w:rStyle w:val="Hyperlink"/>
                <w:noProof/>
                <w:lang w:val="en-AU"/>
              </w:rPr>
              <w:t>Parkville College Student Admissions and Enrolment Policy</w:t>
            </w:r>
            <w:r w:rsidR="007273B2">
              <w:rPr>
                <w:noProof/>
                <w:webHidden/>
              </w:rPr>
              <w:tab/>
            </w:r>
            <w:r w:rsidR="007273B2">
              <w:rPr>
                <w:noProof/>
                <w:webHidden/>
              </w:rPr>
              <w:fldChar w:fldCharType="begin"/>
            </w:r>
            <w:r w:rsidR="007273B2">
              <w:rPr>
                <w:noProof/>
                <w:webHidden/>
              </w:rPr>
              <w:instrText xml:space="preserve"> PAGEREF _Toc97294791 \h </w:instrText>
            </w:r>
            <w:r w:rsidR="007273B2">
              <w:rPr>
                <w:noProof/>
                <w:webHidden/>
              </w:rPr>
            </w:r>
            <w:r w:rsidR="007273B2">
              <w:rPr>
                <w:noProof/>
                <w:webHidden/>
              </w:rPr>
              <w:fldChar w:fldCharType="separate"/>
            </w:r>
            <w:r w:rsidR="007273B2">
              <w:rPr>
                <w:noProof/>
                <w:webHidden/>
              </w:rPr>
              <w:t>- 1 -</w:t>
            </w:r>
            <w:r w:rsidR="007273B2">
              <w:rPr>
                <w:noProof/>
                <w:webHidden/>
              </w:rPr>
              <w:fldChar w:fldCharType="end"/>
            </w:r>
          </w:hyperlink>
        </w:p>
        <w:p w14:paraId="5085B5AA" w14:textId="3E1FFDA5" w:rsidR="007273B2" w:rsidRDefault="007273B2">
          <w:pPr>
            <w:pStyle w:val="TOC2"/>
            <w:tabs>
              <w:tab w:val="right" w:leader="dot" w:pos="9108"/>
            </w:tabs>
            <w:rPr>
              <w:rFonts w:eastAsiaTheme="minorEastAsia"/>
              <w:noProof/>
              <w:sz w:val="22"/>
              <w:szCs w:val="22"/>
              <w:lang w:val="en-AU" w:eastAsia="en-AU"/>
            </w:rPr>
          </w:pPr>
          <w:hyperlink w:anchor="_Toc97294792" w:history="1">
            <w:r w:rsidRPr="00E73C06">
              <w:rPr>
                <w:rStyle w:val="Hyperlink"/>
                <w:noProof/>
                <w:lang w:val="en-AU"/>
              </w:rPr>
              <w:t>Background</w:t>
            </w:r>
            <w:r>
              <w:rPr>
                <w:noProof/>
                <w:webHidden/>
              </w:rPr>
              <w:tab/>
            </w:r>
            <w:r>
              <w:rPr>
                <w:noProof/>
                <w:webHidden/>
              </w:rPr>
              <w:fldChar w:fldCharType="begin"/>
            </w:r>
            <w:r>
              <w:rPr>
                <w:noProof/>
                <w:webHidden/>
              </w:rPr>
              <w:instrText xml:space="preserve"> PAGEREF _Toc97294792 \h </w:instrText>
            </w:r>
            <w:r>
              <w:rPr>
                <w:noProof/>
                <w:webHidden/>
              </w:rPr>
            </w:r>
            <w:r>
              <w:rPr>
                <w:noProof/>
                <w:webHidden/>
              </w:rPr>
              <w:fldChar w:fldCharType="separate"/>
            </w:r>
            <w:r>
              <w:rPr>
                <w:noProof/>
                <w:webHidden/>
              </w:rPr>
              <w:t>- 2 -</w:t>
            </w:r>
            <w:r>
              <w:rPr>
                <w:noProof/>
                <w:webHidden/>
              </w:rPr>
              <w:fldChar w:fldCharType="end"/>
            </w:r>
          </w:hyperlink>
        </w:p>
        <w:p w14:paraId="34972C0D" w14:textId="69F8A2AF" w:rsidR="007273B2" w:rsidRDefault="007273B2">
          <w:pPr>
            <w:pStyle w:val="TOC3"/>
            <w:tabs>
              <w:tab w:val="right" w:leader="dot" w:pos="9108"/>
            </w:tabs>
            <w:rPr>
              <w:rFonts w:eastAsiaTheme="minorEastAsia"/>
              <w:noProof/>
              <w:sz w:val="22"/>
              <w:szCs w:val="22"/>
              <w:lang w:val="en-AU" w:eastAsia="en-AU"/>
            </w:rPr>
          </w:pPr>
          <w:hyperlink w:anchor="_Toc97294793" w:history="1">
            <w:r w:rsidRPr="00E73C06">
              <w:rPr>
                <w:rStyle w:val="Hyperlink"/>
                <w:noProof/>
                <w:lang w:val="en-AU"/>
              </w:rPr>
              <w:t>Purpose</w:t>
            </w:r>
            <w:r>
              <w:rPr>
                <w:noProof/>
                <w:webHidden/>
              </w:rPr>
              <w:tab/>
            </w:r>
            <w:r>
              <w:rPr>
                <w:noProof/>
                <w:webHidden/>
              </w:rPr>
              <w:fldChar w:fldCharType="begin"/>
            </w:r>
            <w:r>
              <w:rPr>
                <w:noProof/>
                <w:webHidden/>
              </w:rPr>
              <w:instrText xml:space="preserve"> PAGEREF _Toc97294793 \h </w:instrText>
            </w:r>
            <w:r>
              <w:rPr>
                <w:noProof/>
                <w:webHidden/>
              </w:rPr>
            </w:r>
            <w:r>
              <w:rPr>
                <w:noProof/>
                <w:webHidden/>
              </w:rPr>
              <w:fldChar w:fldCharType="separate"/>
            </w:r>
            <w:r>
              <w:rPr>
                <w:noProof/>
                <w:webHidden/>
              </w:rPr>
              <w:t>- 3 -</w:t>
            </w:r>
            <w:r>
              <w:rPr>
                <w:noProof/>
                <w:webHidden/>
              </w:rPr>
              <w:fldChar w:fldCharType="end"/>
            </w:r>
          </w:hyperlink>
        </w:p>
        <w:p w14:paraId="2681BAC7" w14:textId="3E7EFBE2" w:rsidR="007273B2" w:rsidRDefault="007273B2">
          <w:pPr>
            <w:pStyle w:val="TOC2"/>
            <w:tabs>
              <w:tab w:val="right" w:leader="dot" w:pos="9108"/>
            </w:tabs>
            <w:rPr>
              <w:rFonts w:eastAsiaTheme="minorEastAsia"/>
              <w:noProof/>
              <w:sz w:val="22"/>
              <w:szCs w:val="22"/>
              <w:lang w:val="en-AU" w:eastAsia="en-AU"/>
            </w:rPr>
          </w:pPr>
          <w:hyperlink w:anchor="_Toc97294794" w:history="1">
            <w:r w:rsidRPr="00E73C06">
              <w:rPr>
                <w:rStyle w:val="Hyperlink"/>
                <w:noProof/>
                <w:lang w:val="en-AU"/>
              </w:rPr>
              <w:t>Entry criteria</w:t>
            </w:r>
            <w:r>
              <w:rPr>
                <w:noProof/>
                <w:webHidden/>
              </w:rPr>
              <w:tab/>
            </w:r>
            <w:r>
              <w:rPr>
                <w:noProof/>
                <w:webHidden/>
              </w:rPr>
              <w:fldChar w:fldCharType="begin"/>
            </w:r>
            <w:r>
              <w:rPr>
                <w:noProof/>
                <w:webHidden/>
              </w:rPr>
              <w:instrText xml:space="preserve"> PAGEREF _Toc97294794 \h </w:instrText>
            </w:r>
            <w:r>
              <w:rPr>
                <w:noProof/>
                <w:webHidden/>
              </w:rPr>
            </w:r>
            <w:r>
              <w:rPr>
                <w:noProof/>
                <w:webHidden/>
              </w:rPr>
              <w:fldChar w:fldCharType="separate"/>
            </w:r>
            <w:r>
              <w:rPr>
                <w:noProof/>
                <w:webHidden/>
              </w:rPr>
              <w:t>- 3 -</w:t>
            </w:r>
            <w:r>
              <w:rPr>
                <w:noProof/>
                <w:webHidden/>
              </w:rPr>
              <w:fldChar w:fldCharType="end"/>
            </w:r>
          </w:hyperlink>
        </w:p>
        <w:p w14:paraId="59E725C7" w14:textId="682CDC6B" w:rsidR="007273B2" w:rsidRDefault="007273B2">
          <w:pPr>
            <w:pStyle w:val="TOC3"/>
            <w:tabs>
              <w:tab w:val="right" w:leader="dot" w:pos="9108"/>
            </w:tabs>
            <w:rPr>
              <w:rFonts w:eastAsiaTheme="minorEastAsia"/>
              <w:noProof/>
              <w:sz w:val="22"/>
              <w:szCs w:val="22"/>
              <w:lang w:val="en-AU" w:eastAsia="en-AU"/>
            </w:rPr>
          </w:pPr>
          <w:hyperlink w:anchor="_Toc97294795" w:history="1">
            <w:r w:rsidRPr="00E73C06">
              <w:rPr>
                <w:rStyle w:val="Hyperlink"/>
                <w:noProof/>
                <w:lang w:val="en-AU"/>
              </w:rPr>
              <w:t>Priority order of placement</w:t>
            </w:r>
            <w:r>
              <w:rPr>
                <w:noProof/>
                <w:webHidden/>
              </w:rPr>
              <w:tab/>
            </w:r>
            <w:r>
              <w:rPr>
                <w:noProof/>
                <w:webHidden/>
              </w:rPr>
              <w:fldChar w:fldCharType="begin"/>
            </w:r>
            <w:r>
              <w:rPr>
                <w:noProof/>
                <w:webHidden/>
              </w:rPr>
              <w:instrText xml:space="preserve"> PAGEREF _Toc97294795 \h </w:instrText>
            </w:r>
            <w:r>
              <w:rPr>
                <w:noProof/>
                <w:webHidden/>
              </w:rPr>
            </w:r>
            <w:r>
              <w:rPr>
                <w:noProof/>
                <w:webHidden/>
              </w:rPr>
              <w:fldChar w:fldCharType="separate"/>
            </w:r>
            <w:r>
              <w:rPr>
                <w:noProof/>
                <w:webHidden/>
              </w:rPr>
              <w:t>- 3 -</w:t>
            </w:r>
            <w:r>
              <w:rPr>
                <w:noProof/>
                <w:webHidden/>
              </w:rPr>
              <w:fldChar w:fldCharType="end"/>
            </w:r>
          </w:hyperlink>
        </w:p>
        <w:p w14:paraId="13A13A0F" w14:textId="6CA5A940" w:rsidR="007273B2" w:rsidRDefault="007273B2">
          <w:pPr>
            <w:pStyle w:val="TOC2"/>
            <w:tabs>
              <w:tab w:val="right" w:leader="dot" w:pos="9108"/>
            </w:tabs>
            <w:rPr>
              <w:rFonts w:eastAsiaTheme="minorEastAsia"/>
              <w:noProof/>
              <w:sz w:val="22"/>
              <w:szCs w:val="22"/>
              <w:lang w:val="en-AU" w:eastAsia="en-AU"/>
            </w:rPr>
          </w:pPr>
          <w:hyperlink w:anchor="_Toc97294796" w:history="1">
            <w:r w:rsidRPr="00E73C06">
              <w:rPr>
                <w:rStyle w:val="Hyperlink"/>
                <w:noProof/>
                <w:lang w:val="en-AU"/>
              </w:rPr>
              <w:t>Evidence requirements</w:t>
            </w:r>
            <w:r>
              <w:rPr>
                <w:noProof/>
                <w:webHidden/>
              </w:rPr>
              <w:tab/>
            </w:r>
            <w:r>
              <w:rPr>
                <w:noProof/>
                <w:webHidden/>
              </w:rPr>
              <w:fldChar w:fldCharType="begin"/>
            </w:r>
            <w:r>
              <w:rPr>
                <w:noProof/>
                <w:webHidden/>
              </w:rPr>
              <w:instrText xml:space="preserve"> PAGEREF _Toc97294796 \h </w:instrText>
            </w:r>
            <w:r>
              <w:rPr>
                <w:noProof/>
                <w:webHidden/>
              </w:rPr>
            </w:r>
            <w:r>
              <w:rPr>
                <w:noProof/>
                <w:webHidden/>
              </w:rPr>
              <w:fldChar w:fldCharType="separate"/>
            </w:r>
            <w:r>
              <w:rPr>
                <w:noProof/>
                <w:webHidden/>
              </w:rPr>
              <w:t>- 4 -</w:t>
            </w:r>
            <w:r>
              <w:rPr>
                <w:noProof/>
                <w:webHidden/>
              </w:rPr>
              <w:fldChar w:fldCharType="end"/>
            </w:r>
          </w:hyperlink>
        </w:p>
        <w:p w14:paraId="2B3D011B" w14:textId="0304E92B" w:rsidR="007273B2" w:rsidRDefault="007273B2">
          <w:pPr>
            <w:pStyle w:val="TOC2"/>
            <w:tabs>
              <w:tab w:val="right" w:leader="dot" w:pos="9108"/>
            </w:tabs>
            <w:rPr>
              <w:rFonts w:eastAsiaTheme="minorEastAsia"/>
              <w:noProof/>
              <w:sz w:val="22"/>
              <w:szCs w:val="22"/>
              <w:lang w:val="en-AU" w:eastAsia="en-AU"/>
            </w:rPr>
          </w:pPr>
          <w:hyperlink w:anchor="_Toc97294797" w:history="1">
            <w:r w:rsidRPr="00E73C06">
              <w:rPr>
                <w:rStyle w:val="Hyperlink"/>
                <w:noProof/>
                <w:lang w:val="en-AU"/>
              </w:rPr>
              <w:t>Appeal process</w:t>
            </w:r>
            <w:r>
              <w:rPr>
                <w:noProof/>
                <w:webHidden/>
              </w:rPr>
              <w:tab/>
            </w:r>
            <w:r>
              <w:rPr>
                <w:noProof/>
                <w:webHidden/>
              </w:rPr>
              <w:fldChar w:fldCharType="begin"/>
            </w:r>
            <w:r>
              <w:rPr>
                <w:noProof/>
                <w:webHidden/>
              </w:rPr>
              <w:instrText xml:space="preserve"> PAGEREF _Toc97294797 \h </w:instrText>
            </w:r>
            <w:r>
              <w:rPr>
                <w:noProof/>
                <w:webHidden/>
              </w:rPr>
            </w:r>
            <w:r>
              <w:rPr>
                <w:noProof/>
                <w:webHidden/>
              </w:rPr>
              <w:fldChar w:fldCharType="separate"/>
            </w:r>
            <w:r>
              <w:rPr>
                <w:noProof/>
                <w:webHidden/>
              </w:rPr>
              <w:t>- 4 -</w:t>
            </w:r>
            <w:r>
              <w:rPr>
                <w:noProof/>
                <w:webHidden/>
              </w:rPr>
              <w:fldChar w:fldCharType="end"/>
            </w:r>
          </w:hyperlink>
        </w:p>
        <w:p w14:paraId="5E60305D" w14:textId="14DC57F4" w:rsidR="007273B2" w:rsidRDefault="007273B2">
          <w:pPr>
            <w:pStyle w:val="TOC2"/>
            <w:tabs>
              <w:tab w:val="right" w:leader="dot" w:pos="9108"/>
            </w:tabs>
            <w:rPr>
              <w:rFonts w:eastAsiaTheme="minorEastAsia"/>
              <w:noProof/>
              <w:sz w:val="22"/>
              <w:szCs w:val="22"/>
              <w:lang w:val="en-AU" w:eastAsia="en-AU"/>
            </w:rPr>
          </w:pPr>
          <w:hyperlink w:anchor="_Toc97294798" w:history="1">
            <w:r w:rsidRPr="00E73C06">
              <w:rPr>
                <w:rStyle w:val="Hyperlink"/>
                <w:noProof/>
                <w:lang w:val="en-AU"/>
              </w:rPr>
              <w:t>Communication</w:t>
            </w:r>
            <w:r>
              <w:rPr>
                <w:noProof/>
                <w:webHidden/>
              </w:rPr>
              <w:tab/>
            </w:r>
            <w:r>
              <w:rPr>
                <w:noProof/>
                <w:webHidden/>
              </w:rPr>
              <w:fldChar w:fldCharType="begin"/>
            </w:r>
            <w:r>
              <w:rPr>
                <w:noProof/>
                <w:webHidden/>
              </w:rPr>
              <w:instrText xml:space="preserve"> PAGEREF _Toc97294798 \h </w:instrText>
            </w:r>
            <w:r>
              <w:rPr>
                <w:noProof/>
                <w:webHidden/>
              </w:rPr>
            </w:r>
            <w:r>
              <w:rPr>
                <w:noProof/>
                <w:webHidden/>
              </w:rPr>
              <w:fldChar w:fldCharType="separate"/>
            </w:r>
            <w:r>
              <w:rPr>
                <w:noProof/>
                <w:webHidden/>
              </w:rPr>
              <w:t>- 5 -</w:t>
            </w:r>
            <w:r>
              <w:rPr>
                <w:noProof/>
                <w:webHidden/>
              </w:rPr>
              <w:fldChar w:fldCharType="end"/>
            </w:r>
          </w:hyperlink>
        </w:p>
        <w:p w14:paraId="2B2C4B89" w14:textId="19D2CA3E" w:rsidR="007273B2" w:rsidRDefault="007273B2">
          <w:pPr>
            <w:pStyle w:val="TOC2"/>
            <w:tabs>
              <w:tab w:val="right" w:leader="dot" w:pos="9108"/>
            </w:tabs>
            <w:rPr>
              <w:rFonts w:eastAsiaTheme="minorEastAsia"/>
              <w:noProof/>
              <w:sz w:val="22"/>
              <w:szCs w:val="22"/>
              <w:lang w:val="en-AU" w:eastAsia="en-AU"/>
            </w:rPr>
          </w:pPr>
          <w:hyperlink w:anchor="_Toc97294799" w:history="1">
            <w:r w:rsidRPr="00E73C06">
              <w:rPr>
                <w:rStyle w:val="Hyperlink"/>
                <w:noProof/>
                <w:lang w:val="en-AU"/>
              </w:rPr>
              <w:t>Further information and resources</w:t>
            </w:r>
            <w:r>
              <w:rPr>
                <w:noProof/>
                <w:webHidden/>
              </w:rPr>
              <w:tab/>
            </w:r>
            <w:r>
              <w:rPr>
                <w:noProof/>
                <w:webHidden/>
              </w:rPr>
              <w:fldChar w:fldCharType="begin"/>
            </w:r>
            <w:r>
              <w:rPr>
                <w:noProof/>
                <w:webHidden/>
              </w:rPr>
              <w:instrText xml:space="preserve"> PAGEREF _Toc97294799 \h </w:instrText>
            </w:r>
            <w:r>
              <w:rPr>
                <w:noProof/>
                <w:webHidden/>
              </w:rPr>
            </w:r>
            <w:r>
              <w:rPr>
                <w:noProof/>
                <w:webHidden/>
              </w:rPr>
              <w:fldChar w:fldCharType="separate"/>
            </w:r>
            <w:r>
              <w:rPr>
                <w:noProof/>
                <w:webHidden/>
              </w:rPr>
              <w:t>- 5 -</w:t>
            </w:r>
            <w:r>
              <w:rPr>
                <w:noProof/>
                <w:webHidden/>
              </w:rPr>
              <w:fldChar w:fldCharType="end"/>
            </w:r>
          </w:hyperlink>
        </w:p>
        <w:p w14:paraId="5D5A81E3" w14:textId="0E0E6DA4" w:rsidR="007273B2" w:rsidRDefault="007273B2">
          <w:pPr>
            <w:pStyle w:val="TOC2"/>
            <w:tabs>
              <w:tab w:val="right" w:leader="dot" w:pos="9108"/>
            </w:tabs>
            <w:rPr>
              <w:rFonts w:eastAsiaTheme="minorEastAsia"/>
              <w:noProof/>
              <w:sz w:val="22"/>
              <w:szCs w:val="22"/>
              <w:lang w:val="en-AU" w:eastAsia="en-AU"/>
            </w:rPr>
          </w:pPr>
          <w:hyperlink w:anchor="_Toc97294800" w:history="1">
            <w:r w:rsidRPr="00E73C06">
              <w:rPr>
                <w:rStyle w:val="Hyperlink"/>
                <w:noProof/>
                <w:lang w:val="en-AU"/>
              </w:rPr>
              <w:t>Appendices</w:t>
            </w:r>
            <w:r>
              <w:rPr>
                <w:noProof/>
                <w:webHidden/>
              </w:rPr>
              <w:tab/>
            </w:r>
            <w:r>
              <w:rPr>
                <w:noProof/>
                <w:webHidden/>
              </w:rPr>
              <w:fldChar w:fldCharType="begin"/>
            </w:r>
            <w:r>
              <w:rPr>
                <w:noProof/>
                <w:webHidden/>
              </w:rPr>
              <w:instrText xml:space="preserve"> PAGEREF _Toc97294800 \h </w:instrText>
            </w:r>
            <w:r>
              <w:rPr>
                <w:noProof/>
                <w:webHidden/>
              </w:rPr>
            </w:r>
            <w:r>
              <w:rPr>
                <w:noProof/>
                <w:webHidden/>
              </w:rPr>
              <w:fldChar w:fldCharType="separate"/>
            </w:r>
            <w:r>
              <w:rPr>
                <w:noProof/>
                <w:webHidden/>
              </w:rPr>
              <w:t>- 5 -</w:t>
            </w:r>
            <w:r>
              <w:rPr>
                <w:noProof/>
                <w:webHidden/>
              </w:rPr>
              <w:fldChar w:fldCharType="end"/>
            </w:r>
          </w:hyperlink>
        </w:p>
        <w:p w14:paraId="7435C75D" w14:textId="736C6B72" w:rsidR="007273B2" w:rsidRDefault="007273B2">
          <w:pPr>
            <w:pStyle w:val="TOC2"/>
            <w:tabs>
              <w:tab w:val="right" w:leader="dot" w:pos="9108"/>
            </w:tabs>
            <w:rPr>
              <w:rFonts w:eastAsiaTheme="minorEastAsia"/>
              <w:noProof/>
              <w:sz w:val="22"/>
              <w:szCs w:val="22"/>
              <w:lang w:val="en-AU" w:eastAsia="en-AU"/>
            </w:rPr>
          </w:pPr>
          <w:hyperlink w:anchor="_Toc97294801" w:history="1">
            <w:r w:rsidRPr="00E73C06">
              <w:rPr>
                <w:rStyle w:val="Hyperlink"/>
                <w:noProof/>
                <w:lang w:val="en-AU"/>
              </w:rPr>
              <w:t>Campus Specific Admissions and Enrolment Processes and Responsibilities</w:t>
            </w:r>
            <w:r>
              <w:rPr>
                <w:noProof/>
                <w:webHidden/>
              </w:rPr>
              <w:tab/>
            </w:r>
            <w:r>
              <w:rPr>
                <w:noProof/>
                <w:webHidden/>
              </w:rPr>
              <w:fldChar w:fldCharType="begin"/>
            </w:r>
            <w:r>
              <w:rPr>
                <w:noProof/>
                <w:webHidden/>
              </w:rPr>
              <w:instrText xml:space="preserve"> PAGEREF _Toc97294801 \h </w:instrText>
            </w:r>
            <w:r>
              <w:rPr>
                <w:noProof/>
                <w:webHidden/>
              </w:rPr>
            </w:r>
            <w:r>
              <w:rPr>
                <w:noProof/>
                <w:webHidden/>
              </w:rPr>
              <w:fldChar w:fldCharType="separate"/>
            </w:r>
            <w:r>
              <w:rPr>
                <w:noProof/>
                <w:webHidden/>
              </w:rPr>
              <w:t>- 6 -</w:t>
            </w:r>
            <w:r>
              <w:rPr>
                <w:noProof/>
                <w:webHidden/>
              </w:rPr>
              <w:fldChar w:fldCharType="end"/>
            </w:r>
          </w:hyperlink>
        </w:p>
        <w:p w14:paraId="4E2E3C30" w14:textId="73FE5108" w:rsidR="007273B2" w:rsidRDefault="007273B2">
          <w:pPr>
            <w:pStyle w:val="TOC3"/>
            <w:tabs>
              <w:tab w:val="right" w:leader="dot" w:pos="9108"/>
            </w:tabs>
            <w:rPr>
              <w:rFonts w:eastAsiaTheme="minorEastAsia"/>
              <w:noProof/>
              <w:sz w:val="22"/>
              <w:szCs w:val="22"/>
              <w:lang w:val="en-AU" w:eastAsia="en-AU"/>
            </w:rPr>
          </w:pPr>
          <w:hyperlink w:anchor="_Toc97294802" w:history="1">
            <w:r w:rsidRPr="00E73C06">
              <w:rPr>
                <w:rStyle w:val="Hyperlink"/>
                <w:noProof/>
                <w:lang w:val="en-AU"/>
              </w:rPr>
              <w:t>Parkville Campus</w:t>
            </w:r>
            <w:r>
              <w:rPr>
                <w:noProof/>
                <w:webHidden/>
              </w:rPr>
              <w:tab/>
            </w:r>
            <w:r>
              <w:rPr>
                <w:noProof/>
                <w:webHidden/>
              </w:rPr>
              <w:fldChar w:fldCharType="begin"/>
            </w:r>
            <w:r>
              <w:rPr>
                <w:noProof/>
                <w:webHidden/>
              </w:rPr>
              <w:instrText xml:space="preserve"> PAGEREF _Toc97294802 \h </w:instrText>
            </w:r>
            <w:r>
              <w:rPr>
                <w:noProof/>
                <w:webHidden/>
              </w:rPr>
            </w:r>
            <w:r>
              <w:rPr>
                <w:noProof/>
                <w:webHidden/>
              </w:rPr>
              <w:fldChar w:fldCharType="separate"/>
            </w:r>
            <w:r>
              <w:rPr>
                <w:noProof/>
                <w:webHidden/>
              </w:rPr>
              <w:t>- 6 -</w:t>
            </w:r>
            <w:r>
              <w:rPr>
                <w:noProof/>
                <w:webHidden/>
              </w:rPr>
              <w:fldChar w:fldCharType="end"/>
            </w:r>
          </w:hyperlink>
        </w:p>
        <w:p w14:paraId="5EC7CB96" w14:textId="18B5987C" w:rsidR="007273B2" w:rsidRDefault="007273B2">
          <w:pPr>
            <w:pStyle w:val="TOC3"/>
            <w:tabs>
              <w:tab w:val="right" w:leader="dot" w:pos="9108"/>
            </w:tabs>
            <w:rPr>
              <w:rFonts w:eastAsiaTheme="minorEastAsia"/>
              <w:noProof/>
              <w:sz w:val="22"/>
              <w:szCs w:val="22"/>
              <w:lang w:val="en-AU" w:eastAsia="en-AU"/>
            </w:rPr>
          </w:pPr>
          <w:hyperlink w:anchor="_Toc97294803" w:history="1">
            <w:r w:rsidRPr="00E73C06">
              <w:rPr>
                <w:rStyle w:val="Hyperlink"/>
                <w:noProof/>
                <w:lang w:val="en-AU"/>
              </w:rPr>
              <w:t>Malmsbury Campus</w:t>
            </w:r>
            <w:r>
              <w:rPr>
                <w:noProof/>
                <w:webHidden/>
              </w:rPr>
              <w:tab/>
            </w:r>
            <w:r>
              <w:rPr>
                <w:noProof/>
                <w:webHidden/>
              </w:rPr>
              <w:fldChar w:fldCharType="begin"/>
            </w:r>
            <w:r>
              <w:rPr>
                <w:noProof/>
                <w:webHidden/>
              </w:rPr>
              <w:instrText xml:space="preserve"> PAGEREF _Toc97294803 \h </w:instrText>
            </w:r>
            <w:r>
              <w:rPr>
                <w:noProof/>
                <w:webHidden/>
              </w:rPr>
            </w:r>
            <w:r>
              <w:rPr>
                <w:noProof/>
                <w:webHidden/>
              </w:rPr>
              <w:fldChar w:fldCharType="separate"/>
            </w:r>
            <w:r>
              <w:rPr>
                <w:noProof/>
                <w:webHidden/>
              </w:rPr>
              <w:t>- 7 -</w:t>
            </w:r>
            <w:r>
              <w:rPr>
                <w:noProof/>
                <w:webHidden/>
              </w:rPr>
              <w:fldChar w:fldCharType="end"/>
            </w:r>
          </w:hyperlink>
        </w:p>
        <w:p w14:paraId="31DA24A4" w14:textId="38BA83DA" w:rsidR="007273B2" w:rsidRDefault="007273B2">
          <w:pPr>
            <w:pStyle w:val="TOC3"/>
            <w:tabs>
              <w:tab w:val="right" w:leader="dot" w:pos="9108"/>
            </w:tabs>
            <w:rPr>
              <w:rFonts w:eastAsiaTheme="minorEastAsia"/>
              <w:noProof/>
              <w:sz w:val="22"/>
              <w:szCs w:val="22"/>
              <w:lang w:val="en-AU" w:eastAsia="en-AU"/>
            </w:rPr>
          </w:pPr>
          <w:hyperlink w:anchor="_Toc97294804" w:history="1">
            <w:r w:rsidRPr="00E73C06">
              <w:rPr>
                <w:rStyle w:val="Hyperlink"/>
                <w:noProof/>
                <w:lang w:val="en-AU"/>
              </w:rPr>
              <w:t>Secure Care Services</w:t>
            </w:r>
            <w:r>
              <w:rPr>
                <w:noProof/>
                <w:webHidden/>
              </w:rPr>
              <w:tab/>
            </w:r>
            <w:r>
              <w:rPr>
                <w:noProof/>
                <w:webHidden/>
              </w:rPr>
              <w:fldChar w:fldCharType="begin"/>
            </w:r>
            <w:r>
              <w:rPr>
                <w:noProof/>
                <w:webHidden/>
              </w:rPr>
              <w:instrText xml:space="preserve"> PAGEREF _Toc97294804 \h </w:instrText>
            </w:r>
            <w:r>
              <w:rPr>
                <w:noProof/>
                <w:webHidden/>
              </w:rPr>
            </w:r>
            <w:r>
              <w:rPr>
                <w:noProof/>
                <w:webHidden/>
              </w:rPr>
              <w:fldChar w:fldCharType="separate"/>
            </w:r>
            <w:r>
              <w:rPr>
                <w:noProof/>
                <w:webHidden/>
              </w:rPr>
              <w:t>- 8 -</w:t>
            </w:r>
            <w:r>
              <w:rPr>
                <w:noProof/>
                <w:webHidden/>
              </w:rPr>
              <w:fldChar w:fldCharType="end"/>
            </w:r>
          </w:hyperlink>
        </w:p>
        <w:p w14:paraId="18BC77AE" w14:textId="7FAAD3CC" w:rsidR="007273B2" w:rsidRDefault="007273B2">
          <w:pPr>
            <w:pStyle w:val="TOC3"/>
            <w:tabs>
              <w:tab w:val="right" w:leader="dot" w:pos="9108"/>
            </w:tabs>
            <w:rPr>
              <w:rFonts w:eastAsiaTheme="minorEastAsia"/>
              <w:noProof/>
              <w:sz w:val="22"/>
              <w:szCs w:val="22"/>
              <w:lang w:val="en-AU" w:eastAsia="en-AU"/>
            </w:rPr>
          </w:pPr>
          <w:hyperlink w:anchor="_Toc97294805" w:history="1">
            <w:r w:rsidRPr="00E73C06">
              <w:rPr>
                <w:rStyle w:val="Hyperlink"/>
                <w:noProof/>
                <w:lang w:val="en-AU"/>
              </w:rPr>
              <w:t>FLC Campus</w:t>
            </w:r>
            <w:r>
              <w:rPr>
                <w:noProof/>
                <w:webHidden/>
              </w:rPr>
              <w:tab/>
            </w:r>
            <w:r>
              <w:rPr>
                <w:noProof/>
                <w:webHidden/>
              </w:rPr>
              <w:fldChar w:fldCharType="begin"/>
            </w:r>
            <w:r>
              <w:rPr>
                <w:noProof/>
                <w:webHidden/>
              </w:rPr>
              <w:instrText xml:space="preserve"> PAGEREF _Toc97294805 \h </w:instrText>
            </w:r>
            <w:r>
              <w:rPr>
                <w:noProof/>
                <w:webHidden/>
              </w:rPr>
            </w:r>
            <w:r>
              <w:rPr>
                <w:noProof/>
                <w:webHidden/>
              </w:rPr>
              <w:fldChar w:fldCharType="separate"/>
            </w:r>
            <w:r>
              <w:rPr>
                <w:noProof/>
                <w:webHidden/>
              </w:rPr>
              <w:t>- 9 -</w:t>
            </w:r>
            <w:r>
              <w:rPr>
                <w:noProof/>
                <w:webHidden/>
              </w:rPr>
              <w:fldChar w:fldCharType="end"/>
            </w:r>
          </w:hyperlink>
        </w:p>
        <w:p w14:paraId="12B0BD2F" w14:textId="1148085C" w:rsidR="00F57CCA" w:rsidRPr="0084450B" w:rsidRDefault="00F57CCA">
          <w:pPr>
            <w:rPr>
              <w:lang w:val="en-AU"/>
            </w:rPr>
          </w:pPr>
          <w:r w:rsidRPr="0084450B">
            <w:rPr>
              <w:b/>
              <w:bCs/>
              <w:lang w:val="en-AU"/>
            </w:rPr>
            <w:fldChar w:fldCharType="end"/>
          </w:r>
        </w:p>
      </w:sdtContent>
    </w:sdt>
    <w:p w14:paraId="289EC991" w14:textId="77777777" w:rsidR="00F57CCA" w:rsidRPr="0084450B" w:rsidRDefault="00F57CCA" w:rsidP="00F57CCA">
      <w:pPr>
        <w:rPr>
          <w:lang w:val="en-AU"/>
        </w:rPr>
      </w:pPr>
    </w:p>
    <w:p w14:paraId="585C62BD" w14:textId="7CF8BE70" w:rsidR="00F57CCA" w:rsidRPr="0084450B" w:rsidRDefault="00F57CCA">
      <w:pPr>
        <w:rPr>
          <w:lang w:val="en-AU"/>
        </w:rPr>
      </w:pPr>
      <w:r w:rsidRPr="0084450B">
        <w:rPr>
          <w:lang w:val="en-AU"/>
        </w:rPr>
        <w:br w:type="page"/>
      </w:r>
    </w:p>
    <w:p w14:paraId="7DA33A11" w14:textId="5E82466B" w:rsidR="007B157E" w:rsidRPr="0084450B" w:rsidRDefault="007B157E" w:rsidP="00F57CCA">
      <w:pPr>
        <w:pStyle w:val="Heading2"/>
        <w:rPr>
          <w:lang w:val="en-AU"/>
        </w:rPr>
      </w:pPr>
      <w:bookmarkStart w:id="1" w:name="_Toc97294792"/>
      <w:r w:rsidRPr="0084450B">
        <w:rPr>
          <w:lang w:val="en-AU"/>
        </w:rPr>
        <w:lastRenderedPageBreak/>
        <w:t>Background</w:t>
      </w:r>
      <w:bookmarkEnd w:id="1"/>
    </w:p>
    <w:p w14:paraId="5271566E" w14:textId="7040DC96" w:rsidR="007B157E" w:rsidRPr="0084450B" w:rsidRDefault="007B157E" w:rsidP="007B157E">
      <w:pPr>
        <w:rPr>
          <w:lang w:val="en-AU" w:eastAsia="en-AU"/>
        </w:rPr>
      </w:pPr>
      <w:r w:rsidRPr="0084450B">
        <w:rPr>
          <w:lang w:val="en-AU" w:eastAsia="en-AU"/>
        </w:rPr>
        <w:t xml:space="preserve">Parkville College is a specific purpose Victorian Government School that has special entry criteria approved by the Minister for Education. The school has been designed with flexibility to allow it to operate to meet the diverse needs of students who are, or have been, detained in custody, a secure </w:t>
      </w:r>
      <w:r w:rsidR="002F576C">
        <w:rPr>
          <w:lang w:val="en-AU" w:eastAsia="en-AU"/>
        </w:rPr>
        <w:t>care</w:t>
      </w:r>
      <w:r w:rsidRPr="0084450B">
        <w:rPr>
          <w:lang w:val="en-AU" w:eastAsia="en-AU"/>
        </w:rPr>
        <w:t xml:space="preserve"> setting, or transitioning from these settings. Working in collaboration with the </w:t>
      </w:r>
      <w:hyperlink r:id="rId12" w:tgtFrame="_blank" w:history="1">
        <w:r w:rsidRPr="0084450B">
          <w:rPr>
            <w:lang w:val="en-AU" w:eastAsia="en-AU"/>
          </w:rPr>
          <w:t>Department of Justice and Community Safety</w:t>
        </w:r>
      </w:hyperlink>
      <w:r w:rsidR="0084450B">
        <w:rPr>
          <w:lang w:val="en-AU" w:eastAsia="en-AU"/>
        </w:rPr>
        <w:t xml:space="preserve"> (DJCS)</w:t>
      </w:r>
      <w:r w:rsidRPr="0084450B">
        <w:rPr>
          <w:lang w:val="en-AU" w:eastAsia="en-AU"/>
        </w:rPr>
        <w:t xml:space="preserve"> and the </w:t>
      </w:r>
      <w:hyperlink r:id="rId13" w:tgtFrame="_blank" w:history="1">
        <w:r w:rsidRPr="0084450B">
          <w:rPr>
            <w:lang w:val="en-AU" w:eastAsia="en-AU"/>
          </w:rPr>
          <w:t>Department of Families, Fairness and Housing</w:t>
        </w:r>
      </w:hyperlink>
      <w:r w:rsidR="0084450B">
        <w:rPr>
          <w:lang w:val="en-AU" w:eastAsia="en-AU"/>
        </w:rPr>
        <w:t xml:space="preserve"> (DFFH)</w:t>
      </w:r>
      <w:r w:rsidRPr="0084450B">
        <w:rPr>
          <w:lang w:val="en-AU" w:eastAsia="en-AU"/>
        </w:rPr>
        <w:t>, we deliver education across five diverse campuses throughout Victoria.</w:t>
      </w:r>
    </w:p>
    <w:p w14:paraId="610D9140" w14:textId="77777777" w:rsidR="007B157E" w:rsidRPr="0084450B" w:rsidRDefault="007B157E" w:rsidP="007B157E">
      <w:pPr>
        <w:rPr>
          <w:lang w:val="en-AU"/>
        </w:rPr>
      </w:pPr>
    </w:p>
    <w:p w14:paraId="608A358A" w14:textId="7CFAD9E6" w:rsidR="007B157E" w:rsidRPr="0084450B" w:rsidRDefault="007B157E" w:rsidP="007B157E">
      <w:pPr>
        <w:rPr>
          <w:lang w:val="en-AU"/>
        </w:rPr>
      </w:pPr>
      <w:r w:rsidRPr="0084450B">
        <w:rPr>
          <w:lang w:val="en-AU"/>
        </w:rPr>
        <w:t xml:space="preserve">As per the </w:t>
      </w:r>
      <w:hyperlink r:id="rId14" w:history="1">
        <w:r w:rsidRPr="0084450B">
          <w:rPr>
            <w:rStyle w:val="Hyperlink"/>
            <w:i/>
            <w:iCs/>
            <w:lang w:val="en-AU"/>
          </w:rPr>
          <w:t>Education and Training Reform Act</w:t>
        </w:r>
      </w:hyperlink>
      <w:r w:rsidRPr="0084450B">
        <w:rPr>
          <w:i/>
          <w:iCs/>
          <w:lang w:val="en-AU"/>
        </w:rPr>
        <w:t xml:space="preserve"> (2006)</w:t>
      </w:r>
      <w:r w:rsidRPr="0084450B">
        <w:rPr>
          <w:lang w:val="en-AU"/>
        </w:rPr>
        <w:t xml:space="preserve"> (Vic) all young people aged 10–17 must attend school. </w:t>
      </w:r>
      <w:r w:rsidRPr="0084450B">
        <w:rPr>
          <w:rFonts w:cs="Arial"/>
          <w:lang w:val="en-AU"/>
        </w:rPr>
        <w:t xml:space="preserve">Secure </w:t>
      </w:r>
      <w:r w:rsidR="00E01DAC">
        <w:rPr>
          <w:rFonts w:cs="Arial"/>
          <w:lang w:val="en-AU"/>
        </w:rPr>
        <w:t>s</w:t>
      </w:r>
      <w:r w:rsidRPr="0084450B">
        <w:rPr>
          <w:rFonts w:cs="Arial"/>
          <w:lang w:val="en-AU"/>
        </w:rPr>
        <w:t xml:space="preserve">ervices mandate that all young people in custody, regardless of age, are engaged in education, training or employment. As a result, </w:t>
      </w:r>
      <w:r w:rsidRPr="0084450B">
        <w:rPr>
          <w:lang w:val="en-AU"/>
        </w:rPr>
        <w:t>upon admission to the Victorian Youth Justice Precincts or the state’s Secure Care Services, young people are enrolled at Parkville College.</w:t>
      </w:r>
    </w:p>
    <w:p w14:paraId="5BEA249F" w14:textId="408BCA85" w:rsidR="0084450B" w:rsidRPr="0084450B" w:rsidRDefault="0084450B" w:rsidP="007B157E">
      <w:pPr>
        <w:rPr>
          <w:lang w:val="en-AU"/>
        </w:rPr>
      </w:pPr>
    </w:p>
    <w:p w14:paraId="4DE51EB1" w14:textId="183DEFB8" w:rsidR="0084450B" w:rsidRPr="0084450B" w:rsidRDefault="0084450B" w:rsidP="007B157E">
      <w:pPr>
        <w:rPr>
          <w:lang w:val="en-AU"/>
        </w:rPr>
      </w:pPr>
      <w:r w:rsidRPr="0084450B">
        <w:rPr>
          <w:lang w:val="en-AU"/>
        </w:rPr>
        <w:t>School participation maximises life opportunities for children and young people by providing them with a comprehensive educational program and access to support networks. It also helps to develop important skills, knowledge and values that set them up for further learning and active participation in their local community.</w:t>
      </w:r>
    </w:p>
    <w:p w14:paraId="3134E18D" w14:textId="77777777" w:rsidR="007B157E" w:rsidRPr="0084450B" w:rsidRDefault="007B157E" w:rsidP="007B157E">
      <w:pPr>
        <w:rPr>
          <w:lang w:val="en-AU" w:eastAsia="en-AU"/>
        </w:rPr>
      </w:pPr>
    </w:p>
    <w:p w14:paraId="143972F9" w14:textId="6AF8C173" w:rsidR="007B157E" w:rsidRDefault="007B157E" w:rsidP="007B157E">
      <w:pPr>
        <w:rPr>
          <w:lang w:val="en-AU"/>
        </w:rPr>
      </w:pPr>
      <w:r w:rsidRPr="0084450B">
        <w:rPr>
          <w:lang w:val="en-AU"/>
        </w:rPr>
        <w:t>The Parkville</w:t>
      </w:r>
      <w:r w:rsidR="00D34481">
        <w:rPr>
          <w:lang w:val="en-AU"/>
        </w:rPr>
        <w:t>, Malmsbury and Cherry Creek</w:t>
      </w:r>
      <w:r w:rsidRPr="0084450B">
        <w:rPr>
          <w:lang w:val="en-AU"/>
        </w:rPr>
        <w:t xml:space="preserve"> Campus</w:t>
      </w:r>
      <w:r w:rsidR="00D34481">
        <w:rPr>
          <w:lang w:val="en-AU"/>
        </w:rPr>
        <w:t>es</w:t>
      </w:r>
      <w:r w:rsidRPr="0084450B">
        <w:rPr>
          <w:lang w:val="en-AU"/>
        </w:rPr>
        <w:t xml:space="preserve"> </w:t>
      </w:r>
      <w:r w:rsidR="00D34481">
        <w:rPr>
          <w:lang w:val="en-AU"/>
        </w:rPr>
        <w:t>are</w:t>
      </w:r>
      <w:r w:rsidRPr="0084450B">
        <w:rPr>
          <w:lang w:val="en-AU"/>
        </w:rPr>
        <w:t xml:space="preserve"> located within Youth Justice Precinct</w:t>
      </w:r>
      <w:r w:rsidR="00D34481">
        <w:rPr>
          <w:lang w:val="en-AU"/>
        </w:rPr>
        <w:t xml:space="preserve">s where DJCS is </w:t>
      </w:r>
      <w:r w:rsidR="00D34481" w:rsidRPr="00D34481">
        <w:rPr>
          <w:lang w:val="en-AU"/>
        </w:rPr>
        <w:t>responsible for the statutory supervision of young people in the criminal justice system.</w:t>
      </w:r>
    </w:p>
    <w:p w14:paraId="0EFF96F6" w14:textId="7E4F205F" w:rsidR="0084450B" w:rsidRDefault="0084450B" w:rsidP="007B157E">
      <w:pPr>
        <w:rPr>
          <w:lang w:val="en-AU"/>
        </w:rPr>
      </w:pPr>
    </w:p>
    <w:p w14:paraId="441498D6" w14:textId="7D4C1D9D" w:rsidR="007B157E" w:rsidRDefault="00D34481" w:rsidP="007B157E">
      <w:pPr>
        <w:rPr>
          <w:lang w:val="en-AU"/>
        </w:rPr>
      </w:pPr>
      <w:r>
        <w:rPr>
          <w:lang w:val="en-AU"/>
        </w:rPr>
        <w:t xml:space="preserve">Our </w:t>
      </w:r>
      <w:r w:rsidRPr="00E9683E">
        <w:rPr>
          <w:lang w:val="en-AU"/>
        </w:rPr>
        <w:t xml:space="preserve">Secure </w:t>
      </w:r>
      <w:r w:rsidR="002F576C">
        <w:rPr>
          <w:lang w:val="en-AU"/>
        </w:rPr>
        <w:t>Care</w:t>
      </w:r>
      <w:r>
        <w:rPr>
          <w:lang w:val="en-AU"/>
        </w:rPr>
        <w:t xml:space="preserve"> campuses in </w:t>
      </w:r>
      <w:r w:rsidRPr="00E9683E">
        <w:rPr>
          <w:lang w:val="en-AU"/>
        </w:rPr>
        <w:t>Ascot Vale</w:t>
      </w:r>
      <w:r>
        <w:rPr>
          <w:lang w:val="en-AU"/>
        </w:rPr>
        <w:t xml:space="preserve"> and </w:t>
      </w:r>
      <w:r w:rsidRPr="00E9683E">
        <w:rPr>
          <w:lang w:val="en-AU"/>
        </w:rPr>
        <w:t xml:space="preserve">Maribyrnong </w:t>
      </w:r>
      <w:r>
        <w:rPr>
          <w:lang w:val="en-AU"/>
        </w:rPr>
        <w:t>are locations where DFFH is responsible for young people</w:t>
      </w:r>
      <w:r w:rsidRPr="00D34481">
        <w:t xml:space="preserve"> </w:t>
      </w:r>
      <w:r w:rsidRPr="00D34481">
        <w:rPr>
          <w:lang w:val="en-AU"/>
        </w:rPr>
        <w:t>who need a highly structured setting during a significant crisis.</w:t>
      </w:r>
      <w:r>
        <w:rPr>
          <w:lang w:val="en-AU"/>
        </w:rPr>
        <w:t xml:space="preserve"> </w:t>
      </w:r>
      <w:r>
        <w:rPr>
          <w:rFonts w:cs="Arial"/>
          <w:lang w:val="en-AU"/>
        </w:rPr>
        <w:t>These y</w:t>
      </w:r>
      <w:r w:rsidRPr="00D34481">
        <w:rPr>
          <w:rFonts w:cs="Arial"/>
          <w:lang w:val="en-AU"/>
        </w:rPr>
        <w:t>oung people</w:t>
      </w:r>
      <w:r w:rsidR="006D7C33">
        <w:rPr>
          <w:rFonts w:cs="Arial"/>
          <w:lang w:val="en-AU"/>
        </w:rPr>
        <w:t xml:space="preserve"> are</w:t>
      </w:r>
      <w:r w:rsidRPr="00D34481">
        <w:rPr>
          <w:rFonts w:cs="Arial"/>
          <w:lang w:val="en-AU"/>
        </w:rPr>
        <w:t xml:space="preserve"> in child protection</w:t>
      </w:r>
      <w:r w:rsidR="006D7C33">
        <w:rPr>
          <w:rFonts w:cs="Arial"/>
          <w:lang w:val="en-AU"/>
        </w:rPr>
        <w:t xml:space="preserve"> and</w:t>
      </w:r>
      <w:r w:rsidRPr="00D34481">
        <w:rPr>
          <w:rFonts w:cs="Arial"/>
          <w:lang w:val="en-AU"/>
        </w:rPr>
        <w:t xml:space="preserve"> may place themselves at risk of such serious harm that they require a highly structured, secure and safe environment for a brief period of time.</w:t>
      </w:r>
    </w:p>
    <w:p w14:paraId="035C6071" w14:textId="77777777" w:rsidR="00D34481" w:rsidRPr="0084450B" w:rsidRDefault="00D34481" w:rsidP="007B157E">
      <w:pPr>
        <w:rPr>
          <w:rFonts w:cs="Arial"/>
          <w:lang w:val="en-AU"/>
        </w:rPr>
      </w:pPr>
    </w:p>
    <w:p w14:paraId="65382B5F" w14:textId="01C5947C" w:rsidR="007B157E" w:rsidRPr="0084450B" w:rsidRDefault="007B157E" w:rsidP="007B157E">
      <w:pPr>
        <w:rPr>
          <w:rFonts w:cs="Arial"/>
          <w:lang w:val="en-AU"/>
        </w:rPr>
      </w:pPr>
      <w:r w:rsidRPr="0084450B">
        <w:rPr>
          <w:rFonts w:cs="Arial"/>
          <w:lang w:val="en-AU"/>
        </w:rPr>
        <w:t>The Parkville College Flexible Learning Centre Campus is a co-educational setting which supports young people who have been involved with the youth justice system or secure care services.</w:t>
      </w:r>
    </w:p>
    <w:p w14:paraId="36E4CF5A" w14:textId="77777777" w:rsidR="007B157E" w:rsidRPr="0084450B" w:rsidRDefault="007B157E" w:rsidP="007B157E">
      <w:pPr>
        <w:rPr>
          <w:rFonts w:cs="Arial"/>
          <w:lang w:val="en-AU"/>
        </w:rPr>
      </w:pPr>
    </w:p>
    <w:p w14:paraId="02F3827F" w14:textId="77777777" w:rsidR="007B157E" w:rsidRPr="0084450B" w:rsidRDefault="007B157E" w:rsidP="007B157E">
      <w:pPr>
        <w:rPr>
          <w:rFonts w:cs="Arial"/>
          <w:lang w:val="en-AU"/>
        </w:rPr>
      </w:pPr>
      <w:r w:rsidRPr="0084450B">
        <w:rPr>
          <w:rFonts w:cs="Arial"/>
          <w:lang w:val="en-AU"/>
        </w:rPr>
        <w:t>Parkville College:</w:t>
      </w:r>
    </w:p>
    <w:p w14:paraId="52E1EA99" w14:textId="7626AE87" w:rsidR="007B157E" w:rsidRPr="0084450B" w:rsidRDefault="007B157E" w:rsidP="007B157E">
      <w:pPr>
        <w:pStyle w:val="ListParagraph"/>
        <w:numPr>
          <w:ilvl w:val="0"/>
          <w:numId w:val="26"/>
        </w:numPr>
        <w:ind w:left="709" w:hanging="349"/>
        <w:rPr>
          <w:rFonts w:cs="Arial"/>
          <w:lang w:val="en-AU"/>
        </w:rPr>
      </w:pPr>
      <w:r w:rsidRPr="0084450B">
        <w:rPr>
          <w:rFonts w:cs="Arial"/>
          <w:lang w:val="en-AU"/>
        </w:rPr>
        <w:t xml:space="preserve">Supports students to grow and learn in a culturally responsive and physically safe space. We always interact in a </w:t>
      </w:r>
      <w:r w:rsidR="006D7C33">
        <w:rPr>
          <w:rFonts w:cs="Arial"/>
          <w:lang w:val="en-AU"/>
        </w:rPr>
        <w:t>clear</w:t>
      </w:r>
      <w:r w:rsidR="006D7C33" w:rsidRPr="0084450B">
        <w:rPr>
          <w:rFonts w:cs="Arial"/>
          <w:lang w:val="en-AU"/>
        </w:rPr>
        <w:t xml:space="preserve"> </w:t>
      </w:r>
      <w:r w:rsidRPr="0084450B">
        <w:rPr>
          <w:rFonts w:cs="Arial"/>
          <w:lang w:val="en-AU"/>
        </w:rPr>
        <w:t>and culturally responsive way.</w:t>
      </w:r>
    </w:p>
    <w:p w14:paraId="3FF1CCB8" w14:textId="77777777" w:rsidR="007B157E" w:rsidRPr="0084450B" w:rsidRDefault="007B157E" w:rsidP="007B157E">
      <w:pPr>
        <w:pStyle w:val="ListParagraph"/>
        <w:numPr>
          <w:ilvl w:val="0"/>
          <w:numId w:val="26"/>
        </w:numPr>
        <w:ind w:left="709" w:hanging="349"/>
        <w:rPr>
          <w:rFonts w:cs="Arial"/>
          <w:lang w:val="en-AU"/>
        </w:rPr>
      </w:pPr>
      <w:r w:rsidRPr="0084450B">
        <w:rPr>
          <w:rFonts w:cs="Arial"/>
          <w:lang w:val="en-AU"/>
        </w:rPr>
        <w:t>Builds mutually accountable learning partnerships driven by a culturally responsive curriculum. Our students and their communities experience agency and a sense of belonging that generates meaningful learning outcomes.</w:t>
      </w:r>
    </w:p>
    <w:p w14:paraId="3A479738" w14:textId="77777777" w:rsidR="007B157E" w:rsidRPr="0084450B" w:rsidRDefault="007B157E" w:rsidP="007B157E">
      <w:pPr>
        <w:pStyle w:val="ListParagraph"/>
        <w:numPr>
          <w:ilvl w:val="0"/>
          <w:numId w:val="26"/>
        </w:numPr>
        <w:ind w:left="709" w:hanging="349"/>
        <w:rPr>
          <w:rFonts w:cs="Arial"/>
          <w:lang w:val="en-AU"/>
        </w:rPr>
      </w:pPr>
      <w:r w:rsidRPr="0084450B">
        <w:rPr>
          <w:rFonts w:cs="Arial"/>
          <w:lang w:val="en-AU"/>
        </w:rPr>
        <w:t>Guides students to think critically, plan independently and act collaboratively. Together, we develop a platform from which to explore ambitions, passions and pathways.</w:t>
      </w:r>
    </w:p>
    <w:p w14:paraId="7F2682B4" w14:textId="5AE3FF18" w:rsidR="007B157E" w:rsidRDefault="007B157E" w:rsidP="007B157E">
      <w:pPr>
        <w:rPr>
          <w:lang w:val="en-AU"/>
        </w:rPr>
      </w:pPr>
    </w:p>
    <w:p w14:paraId="77BE278A" w14:textId="3B1182C6" w:rsidR="00067899" w:rsidRDefault="00067899" w:rsidP="007B157E">
      <w:pPr>
        <w:rPr>
          <w:lang w:val="en-AU"/>
        </w:rPr>
      </w:pPr>
      <w:r>
        <w:rPr>
          <w:lang w:val="en-AU"/>
        </w:rPr>
        <w:t xml:space="preserve">Parkville College follows all Department requirements regarding maximum age exemptions/exceptions as per the </w:t>
      </w:r>
      <w:hyperlink r:id="rId15" w:history="1">
        <w:r w:rsidRPr="00067899">
          <w:rPr>
            <w:rStyle w:val="Hyperlink"/>
            <w:lang w:val="en-AU"/>
          </w:rPr>
          <w:t>Education and Training Reform Regulations 2017</w:t>
        </w:r>
      </w:hyperlink>
      <w:r>
        <w:rPr>
          <w:lang w:val="en-AU"/>
        </w:rPr>
        <w:t xml:space="preserve"> (Vic) and the Department’s </w:t>
      </w:r>
      <w:hyperlink r:id="rId16" w:history="1">
        <w:r w:rsidRPr="00067899">
          <w:rPr>
            <w:rStyle w:val="Hyperlink"/>
            <w:lang w:val="en-AU"/>
          </w:rPr>
          <w:t>Enrolment policy</w:t>
        </w:r>
      </w:hyperlink>
      <w:r>
        <w:rPr>
          <w:lang w:val="en-AU"/>
        </w:rPr>
        <w:t xml:space="preserve">, as well as the </w:t>
      </w:r>
      <w:hyperlink r:id="rId17" w:history="1">
        <w:r w:rsidRPr="00067899">
          <w:rPr>
            <w:rStyle w:val="Hyperlink"/>
            <w:lang w:val="en-AU"/>
          </w:rPr>
          <w:t>Concurrent enrolment process (youth justice and secure welfare)</w:t>
        </w:r>
      </w:hyperlink>
      <w:r>
        <w:rPr>
          <w:lang w:val="en-AU"/>
        </w:rPr>
        <w:t>.</w:t>
      </w:r>
    </w:p>
    <w:p w14:paraId="576F1399" w14:textId="77777777" w:rsidR="00067899" w:rsidRPr="0084450B" w:rsidRDefault="00067899" w:rsidP="007B157E">
      <w:pPr>
        <w:rPr>
          <w:lang w:val="en-AU"/>
        </w:rPr>
      </w:pPr>
    </w:p>
    <w:p w14:paraId="385E9479" w14:textId="55B78CD9" w:rsidR="00F57CCA" w:rsidRPr="0084450B" w:rsidRDefault="00F57CCA" w:rsidP="00E854B7">
      <w:pPr>
        <w:pStyle w:val="Heading3"/>
        <w:rPr>
          <w:lang w:val="en-AU"/>
        </w:rPr>
      </w:pPr>
      <w:bookmarkStart w:id="2" w:name="_Toc97294793"/>
      <w:r w:rsidRPr="0084450B">
        <w:rPr>
          <w:lang w:val="en-AU"/>
        </w:rPr>
        <w:t>Purpose</w:t>
      </w:r>
      <w:bookmarkEnd w:id="2"/>
    </w:p>
    <w:p w14:paraId="4E987F05" w14:textId="750C5BB2" w:rsidR="00313D79" w:rsidRDefault="0084450B" w:rsidP="00F57CCA">
      <w:pPr>
        <w:rPr>
          <w:rFonts w:cs="Arial"/>
          <w:szCs w:val="22"/>
          <w:lang w:val="en-AU"/>
        </w:rPr>
      </w:pPr>
      <w:r w:rsidRPr="0084450B">
        <w:rPr>
          <w:rFonts w:cs="Arial"/>
          <w:szCs w:val="22"/>
          <w:lang w:val="en-AU"/>
        </w:rPr>
        <w:t xml:space="preserve">The purpose of this policy is to </w:t>
      </w:r>
      <w:r w:rsidR="00074A0E">
        <w:rPr>
          <w:rFonts w:cs="Arial"/>
          <w:szCs w:val="22"/>
          <w:lang w:val="en-AU"/>
        </w:rPr>
        <w:t xml:space="preserve">outline </w:t>
      </w:r>
      <w:r w:rsidR="004713E7">
        <w:rPr>
          <w:rFonts w:cs="Arial"/>
          <w:szCs w:val="22"/>
          <w:lang w:val="en-AU"/>
        </w:rPr>
        <w:t>Parkville College’s</w:t>
      </w:r>
      <w:r w:rsidR="00074A0E">
        <w:rPr>
          <w:rFonts w:cs="Arial"/>
          <w:szCs w:val="22"/>
          <w:lang w:val="en-AU"/>
        </w:rPr>
        <w:t xml:space="preserve"> enrolment policy and processes</w:t>
      </w:r>
      <w:r w:rsidR="004713E7">
        <w:rPr>
          <w:rFonts w:cs="Arial"/>
          <w:szCs w:val="22"/>
          <w:lang w:val="en-AU"/>
        </w:rPr>
        <w:t xml:space="preserve"> and to</w:t>
      </w:r>
      <w:r w:rsidRPr="0084450B">
        <w:rPr>
          <w:rFonts w:cs="Arial"/>
          <w:szCs w:val="22"/>
          <w:lang w:val="en-AU"/>
        </w:rPr>
        <w:t xml:space="preserve"> provide clarity for the local community on the entry criteria</w:t>
      </w:r>
      <w:r w:rsidR="00AC0FE9">
        <w:rPr>
          <w:rFonts w:cs="Arial"/>
          <w:szCs w:val="22"/>
          <w:lang w:val="en-AU"/>
        </w:rPr>
        <w:t xml:space="preserve"> for our flexible learning centre campus</w:t>
      </w:r>
      <w:r w:rsidR="00E854B7">
        <w:rPr>
          <w:rFonts w:cs="Arial"/>
          <w:szCs w:val="22"/>
          <w:lang w:val="en-AU"/>
        </w:rPr>
        <w:t>,</w:t>
      </w:r>
      <w:r w:rsidRPr="0084450B">
        <w:rPr>
          <w:rFonts w:cs="Arial"/>
          <w:szCs w:val="22"/>
          <w:lang w:val="en-AU"/>
        </w:rPr>
        <w:t xml:space="preserve"> ensur</w:t>
      </w:r>
      <w:r w:rsidR="00E854B7">
        <w:rPr>
          <w:rFonts w:cs="Arial"/>
          <w:szCs w:val="22"/>
          <w:lang w:val="en-AU"/>
        </w:rPr>
        <w:t>ing</w:t>
      </w:r>
      <w:r w:rsidRPr="0084450B">
        <w:rPr>
          <w:rFonts w:cs="Arial"/>
          <w:szCs w:val="22"/>
          <w:lang w:val="en-AU"/>
        </w:rPr>
        <w:t xml:space="preserve"> a smooth and supported transition for enrolling </w:t>
      </w:r>
      <w:r w:rsidR="00E854B7" w:rsidRPr="0084450B">
        <w:rPr>
          <w:rFonts w:cs="Arial"/>
          <w:szCs w:val="22"/>
          <w:lang w:val="en-AU"/>
        </w:rPr>
        <w:t>students</w:t>
      </w:r>
      <w:r w:rsidR="00E854B7">
        <w:rPr>
          <w:rFonts w:cs="Arial"/>
          <w:szCs w:val="22"/>
          <w:lang w:val="en-AU"/>
        </w:rPr>
        <w:t xml:space="preserve">. It </w:t>
      </w:r>
      <w:r w:rsidR="00313D79" w:rsidRPr="0084450B">
        <w:rPr>
          <w:rFonts w:cs="Arial"/>
          <w:szCs w:val="22"/>
          <w:lang w:val="en-AU"/>
        </w:rPr>
        <w:t>aims</w:t>
      </w:r>
      <w:r w:rsidR="00E854B7">
        <w:rPr>
          <w:rFonts w:cs="Arial"/>
          <w:szCs w:val="22"/>
          <w:lang w:val="en-AU"/>
        </w:rPr>
        <w:t xml:space="preserve"> </w:t>
      </w:r>
      <w:r w:rsidR="00313D79" w:rsidRPr="0084450B">
        <w:rPr>
          <w:rFonts w:cs="Arial"/>
          <w:szCs w:val="22"/>
          <w:lang w:val="en-AU"/>
        </w:rPr>
        <w:t xml:space="preserve">to ensure the </w:t>
      </w:r>
      <w:r w:rsidR="00F57CCA" w:rsidRPr="0084450B">
        <w:rPr>
          <w:rFonts w:cs="Arial"/>
          <w:szCs w:val="22"/>
          <w:lang w:val="en-AU"/>
        </w:rPr>
        <w:t xml:space="preserve">consistent collection of student details </w:t>
      </w:r>
      <w:r w:rsidR="00313D79" w:rsidRPr="0084450B">
        <w:rPr>
          <w:rFonts w:cs="Arial"/>
          <w:szCs w:val="22"/>
          <w:lang w:val="en-AU"/>
        </w:rPr>
        <w:t>and data</w:t>
      </w:r>
      <w:r w:rsidR="00F57CCA" w:rsidRPr="0084450B">
        <w:rPr>
          <w:rFonts w:cs="Arial"/>
          <w:szCs w:val="22"/>
          <w:lang w:val="en-AU"/>
        </w:rPr>
        <w:t xml:space="preserve"> </w:t>
      </w:r>
      <w:r w:rsidR="00313D79" w:rsidRPr="0084450B">
        <w:rPr>
          <w:rFonts w:cs="Arial"/>
          <w:szCs w:val="22"/>
          <w:lang w:val="en-AU"/>
        </w:rPr>
        <w:t>by identifying the responsibilities of key stakeholders at each stage of the enrolment process.</w:t>
      </w:r>
    </w:p>
    <w:p w14:paraId="5DEBBD37" w14:textId="37C6D0DB" w:rsidR="00E854B7" w:rsidRDefault="00E854B7" w:rsidP="00F57CCA">
      <w:pPr>
        <w:rPr>
          <w:rFonts w:cs="Arial"/>
          <w:szCs w:val="22"/>
          <w:lang w:val="en-AU"/>
        </w:rPr>
      </w:pPr>
    </w:p>
    <w:p w14:paraId="61472E49" w14:textId="5DEBBAFB" w:rsidR="00E854B7" w:rsidRDefault="00E854B7" w:rsidP="00E854B7">
      <w:pPr>
        <w:pStyle w:val="Heading2"/>
        <w:rPr>
          <w:lang w:val="en-AU"/>
        </w:rPr>
      </w:pPr>
      <w:bookmarkStart w:id="3" w:name="_Toc97294794"/>
      <w:r>
        <w:rPr>
          <w:lang w:val="en-AU"/>
        </w:rPr>
        <w:t>Entry criteria</w:t>
      </w:r>
      <w:bookmarkEnd w:id="3"/>
    </w:p>
    <w:p w14:paraId="0CAD9E32" w14:textId="7347CE42" w:rsidR="00E9683E" w:rsidRDefault="00E9683E" w:rsidP="00E854B7">
      <w:pPr>
        <w:rPr>
          <w:lang w:val="en-AU"/>
        </w:rPr>
      </w:pPr>
      <w:r>
        <w:rPr>
          <w:lang w:val="en-AU"/>
        </w:rPr>
        <w:t xml:space="preserve">Students enrolled at our youth justice campuses at Malmsbury, Parkville </w:t>
      </w:r>
      <w:r w:rsidR="002A2568">
        <w:rPr>
          <w:lang w:val="en-AU"/>
        </w:rPr>
        <w:t>and</w:t>
      </w:r>
      <w:r>
        <w:rPr>
          <w:lang w:val="en-AU"/>
        </w:rPr>
        <w:t xml:space="preserve"> Cherry Creek have been detained in the state’s youth justice system and are aged between </w:t>
      </w:r>
      <w:r w:rsidR="00241871">
        <w:rPr>
          <w:lang w:val="en-AU"/>
        </w:rPr>
        <w:t>10 and 21</w:t>
      </w:r>
      <w:r w:rsidR="00E8249B">
        <w:rPr>
          <w:lang w:val="en-AU"/>
        </w:rPr>
        <w:t xml:space="preserve"> (at the time of sentencing)</w:t>
      </w:r>
      <w:r w:rsidR="00241871">
        <w:rPr>
          <w:lang w:val="en-AU"/>
        </w:rPr>
        <w:t>.</w:t>
      </w:r>
    </w:p>
    <w:p w14:paraId="7734F39A" w14:textId="77777777" w:rsidR="00E9683E" w:rsidRDefault="00E9683E" w:rsidP="00E854B7">
      <w:pPr>
        <w:rPr>
          <w:lang w:val="en-AU"/>
        </w:rPr>
      </w:pPr>
    </w:p>
    <w:p w14:paraId="6374C891" w14:textId="46213CA1" w:rsidR="00E9683E" w:rsidRDefault="00241871" w:rsidP="00E854B7">
      <w:pPr>
        <w:rPr>
          <w:lang w:val="en-AU"/>
        </w:rPr>
      </w:pPr>
      <w:r>
        <w:rPr>
          <w:lang w:val="en-AU"/>
        </w:rPr>
        <w:t>Students enrolled at</w:t>
      </w:r>
      <w:r w:rsidR="00EE11DD">
        <w:rPr>
          <w:lang w:val="en-AU"/>
        </w:rPr>
        <w:t xml:space="preserve"> our</w:t>
      </w:r>
      <w:r>
        <w:rPr>
          <w:lang w:val="en-AU"/>
        </w:rPr>
        <w:t xml:space="preserve"> </w:t>
      </w:r>
      <w:r w:rsidR="00E9683E" w:rsidRPr="00E9683E">
        <w:rPr>
          <w:lang w:val="en-AU"/>
        </w:rPr>
        <w:t xml:space="preserve">Secure </w:t>
      </w:r>
      <w:r w:rsidR="002F576C">
        <w:rPr>
          <w:lang w:val="en-AU"/>
        </w:rPr>
        <w:t>Care</w:t>
      </w:r>
      <w:r w:rsidR="00EE11DD">
        <w:rPr>
          <w:lang w:val="en-AU"/>
        </w:rPr>
        <w:t xml:space="preserve"> campuses</w:t>
      </w:r>
      <w:r w:rsidR="00E9683E">
        <w:rPr>
          <w:lang w:val="en-AU"/>
        </w:rPr>
        <w:t xml:space="preserve"> </w:t>
      </w:r>
      <w:r w:rsidR="00EE11DD">
        <w:rPr>
          <w:lang w:val="en-AU"/>
        </w:rPr>
        <w:t xml:space="preserve">in </w:t>
      </w:r>
      <w:r w:rsidR="00EE11DD" w:rsidRPr="00E9683E">
        <w:rPr>
          <w:lang w:val="en-AU"/>
        </w:rPr>
        <w:t>Ascot Vale</w:t>
      </w:r>
      <w:r w:rsidR="00EE11DD">
        <w:rPr>
          <w:lang w:val="en-AU"/>
        </w:rPr>
        <w:t xml:space="preserve"> and</w:t>
      </w:r>
      <w:r w:rsidR="00E9683E">
        <w:rPr>
          <w:lang w:val="en-AU"/>
        </w:rPr>
        <w:t xml:space="preserve"> </w:t>
      </w:r>
      <w:r w:rsidR="00E9683E" w:rsidRPr="00E9683E">
        <w:rPr>
          <w:lang w:val="en-AU"/>
        </w:rPr>
        <w:t xml:space="preserve">Maribyrnong </w:t>
      </w:r>
      <w:r w:rsidR="00E9683E">
        <w:rPr>
          <w:lang w:val="en-AU"/>
        </w:rPr>
        <w:t xml:space="preserve">have been </w:t>
      </w:r>
      <w:r w:rsidR="00EE11DD">
        <w:rPr>
          <w:lang w:val="en-AU"/>
        </w:rPr>
        <w:t xml:space="preserve">placed in a secure </w:t>
      </w:r>
      <w:r w:rsidR="002F576C">
        <w:rPr>
          <w:lang w:val="en-AU"/>
        </w:rPr>
        <w:t>care</w:t>
      </w:r>
      <w:r w:rsidR="00EE11DD">
        <w:rPr>
          <w:lang w:val="en-AU"/>
        </w:rPr>
        <w:t xml:space="preserve"> service because they are</w:t>
      </w:r>
      <w:r w:rsidR="00E8249B">
        <w:rPr>
          <w:lang w:val="en-AU"/>
        </w:rPr>
        <w:t xml:space="preserve"> at a</w:t>
      </w:r>
      <w:r w:rsidR="00EE11DD">
        <w:rPr>
          <w:lang w:val="en-AU"/>
        </w:rPr>
        <w:t xml:space="preserve"> </w:t>
      </w:r>
      <w:r w:rsidR="00EE11DD" w:rsidRPr="00EE11DD">
        <w:rPr>
          <w:lang w:val="en-AU"/>
        </w:rPr>
        <w:t xml:space="preserve">substantial and immediate risk of </w:t>
      </w:r>
      <w:r w:rsidR="00E67433" w:rsidRPr="00EE11DD">
        <w:rPr>
          <w:lang w:val="en-AU"/>
        </w:rPr>
        <w:t>harm</w:t>
      </w:r>
      <w:r w:rsidR="00E67433">
        <w:rPr>
          <w:lang w:val="en-AU"/>
        </w:rPr>
        <w:t xml:space="preserve"> and</w:t>
      </w:r>
      <w:r w:rsidR="00EE11DD">
        <w:rPr>
          <w:lang w:val="en-AU"/>
        </w:rPr>
        <w:t xml:space="preserve"> are aged between 10 and 17.</w:t>
      </w:r>
    </w:p>
    <w:p w14:paraId="1EEDF471" w14:textId="29C7457B" w:rsidR="00EE11DD" w:rsidRDefault="00EE11DD" w:rsidP="00E854B7">
      <w:pPr>
        <w:rPr>
          <w:lang w:val="en-AU"/>
        </w:rPr>
      </w:pPr>
    </w:p>
    <w:p w14:paraId="582E981F" w14:textId="77777777" w:rsidR="0004187B" w:rsidRDefault="00EE11DD" w:rsidP="00E854B7">
      <w:pPr>
        <w:rPr>
          <w:lang w:val="en-AU"/>
        </w:rPr>
      </w:pPr>
      <w:r>
        <w:rPr>
          <w:lang w:val="en-AU"/>
        </w:rPr>
        <w:t>Students enrolled at our Flexible Learning Centre campus</w:t>
      </w:r>
      <w:r w:rsidR="0004187B">
        <w:rPr>
          <w:lang w:val="en-AU"/>
        </w:rPr>
        <w:t>:</w:t>
      </w:r>
    </w:p>
    <w:p w14:paraId="5A1BA16F" w14:textId="7BC9C64B" w:rsidR="0004187B" w:rsidRDefault="00EE11DD" w:rsidP="0004187B">
      <w:pPr>
        <w:pStyle w:val="ListParagraph"/>
        <w:numPr>
          <w:ilvl w:val="0"/>
          <w:numId w:val="36"/>
        </w:numPr>
        <w:rPr>
          <w:lang w:val="en-AU"/>
        </w:rPr>
      </w:pPr>
      <w:r w:rsidRPr="0004187B">
        <w:rPr>
          <w:lang w:val="en-AU"/>
        </w:rPr>
        <w:t xml:space="preserve">have been released from custody or secure </w:t>
      </w:r>
      <w:r w:rsidR="002F576C">
        <w:rPr>
          <w:lang w:val="en-AU"/>
        </w:rPr>
        <w:t>care</w:t>
      </w:r>
    </w:p>
    <w:p w14:paraId="5CC13C86" w14:textId="1DD302FD" w:rsidR="00EE11DD" w:rsidRDefault="0004187B" w:rsidP="0004187B">
      <w:pPr>
        <w:pStyle w:val="ListParagraph"/>
        <w:numPr>
          <w:ilvl w:val="0"/>
          <w:numId w:val="36"/>
        </w:numPr>
        <w:rPr>
          <w:lang w:val="en-AU"/>
        </w:rPr>
      </w:pPr>
      <w:r w:rsidRPr="0004187B">
        <w:rPr>
          <w:lang w:val="en-AU"/>
        </w:rPr>
        <w:t>are aged between 15 and 21</w:t>
      </w:r>
    </w:p>
    <w:p w14:paraId="4326573C" w14:textId="13804A5E" w:rsidR="0004187B" w:rsidRPr="0004187B" w:rsidRDefault="0004187B" w:rsidP="0004187B">
      <w:pPr>
        <w:pStyle w:val="ListParagraph"/>
        <w:numPr>
          <w:ilvl w:val="0"/>
          <w:numId w:val="36"/>
        </w:numPr>
        <w:rPr>
          <w:lang w:val="en-AU"/>
        </w:rPr>
      </w:pPr>
      <w:r>
        <w:rPr>
          <w:lang w:val="en-AU"/>
        </w:rPr>
        <w:t xml:space="preserve">are </w:t>
      </w:r>
      <w:r w:rsidRPr="0004187B">
        <w:rPr>
          <w:lang w:val="en-AU"/>
        </w:rPr>
        <w:t>best suited to a flexible educational program with additional youth support</w:t>
      </w:r>
    </w:p>
    <w:p w14:paraId="3EA5E6F5" w14:textId="7D9A23EF" w:rsidR="00EE11DD" w:rsidRDefault="00EE11DD" w:rsidP="00E854B7">
      <w:pPr>
        <w:rPr>
          <w:lang w:val="en-AU"/>
        </w:rPr>
      </w:pPr>
    </w:p>
    <w:p w14:paraId="1D618D59" w14:textId="7D1D2256" w:rsidR="00EE11DD" w:rsidRDefault="00F9265A" w:rsidP="00F9265A">
      <w:pPr>
        <w:pStyle w:val="Heading3"/>
        <w:rPr>
          <w:lang w:val="en-AU"/>
        </w:rPr>
      </w:pPr>
      <w:bookmarkStart w:id="4" w:name="_Toc97294795"/>
      <w:r>
        <w:rPr>
          <w:lang w:val="en-AU"/>
        </w:rPr>
        <w:t>Priority order of placement</w:t>
      </w:r>
      <w:bookmarkEnd w:id="4"/>
    </w:p>
    <w:p w14:paraId="24B8F3CB" w14:textId="4558A5BD" w:rsidR="007A073C" w:rsidRDefault="007A073C" w:rsidP="00EE11DD">
      <w:pPr>
        <w:rPr>
          <w:lang w:val="en-AU"/>
        </w:rPr>
      </w:pPr>
      <w:r>
        <w:rPr>
          <w:lang w:val="en-AU"/>
        </w:rPr>
        <w:t>This priority order of placement applies to our Flexible Learning Centre campus</w:t>
      </w:r>
      <w:r w:rsidRPr="00EE11DD">
        <w:rPr>
          <w:lang w:val="en-AU"/>
        </w:rPr>
        <w:t xml:space="preserve"> </w:t>
      </w:r>
      <w:r>
        <w:rPr>
          <w:lang w:val="en-AU"/>
        </w:rPr>
        <w:t xml:space="preserve">only. There is no priority order of placement at our youth justice and secure </w:t>
      </w:r>
      <w:r w:rsidR="002F576C">
        <w:rPr>
          <w:lang w:val="en-AU"/>
        </w:rPr>
        <w:t>care</w:t>
      </w:r>
      <w:r>
        <w:rPr>
          <w:lang w:val="en-AU"/>
        </w:rPr>
        <w:t xml:space="preserve"> campuses.</w:t>
      </w:r>
    </w:p>
    <w:p w14:paraId="5AB635D4" w14:textId="1B3BFE5A" w:rsidR="007A073C" w:rsidRDefault="007A073C" w:rsidP="00EE11DD">
      <w:pPr>
        <w:rPr>
          <w:lang w:val="en-AU"/>
        </w:rPr>
      </w:pPr>
    </w:p>
    <w:p w14:paraId="67999198" w14:textId="016940BA" w:rsidR="007A073C" w:rsidRDefault="007A073C" w:rsidP="00EE11DD">
      <w:pPr>
        <w:rPr>
          <w:lang w:val="en-AU"/>
        </w:rPr>
      </w:pPr>
      <w:r w:rsidRPr="007A073C">
        <w:rPr>
          <w:lang w:val="en-AU"/>
        </w:rPr>
        <w:t xml:space="preserve">In the event that there is a larger number of </w:t>
      </w:r>
      <w:r>
        <w:rPr>
          <w:lang w:val="en-AU"/>
        </w:rPr>
        <w:t>referrals</w:t>
      </w:r>
      <w:r w:rsidRPr="007A073C">
        <w:rPr>
          <w:lang w:val="en-AU"/>
        </w:rPr>
        <w:t xml:space="preserve"> than the number of places available</w:t>
      </w:r>
      <w:r>
        <w:rPr>
          <w:lang w:val="en-AU"/>
        </w:rPr>
        <w:t xml:space="preserve"> at our Flexible Learning Centre campus, Parkville College </w:t>
      </w:r>
      <w:r w:rsidRPr="007A073C">
        <w:rPr>
          <w:lang w:val="en-AU"/>
        </w:rPr>
        <w:t>will limit enrolments to meet the designated capacity</w:t>
      </w:r>
      <w:r>
        <w:rPr>
          <w:lang w:val="en-AU"/>
        </w:rPr>
        <w:t>.</w:t>
      </w:r>
    </w:p>
    <w:p w14:paraId="2B106DE6" w14:textId="3054CE39" w:rsidR="007A073C" w:rsidRDefault="007A073C" w:rsidP="00EE11DD">
      <w:pPr>
        <w:rPr>
          <w:lang w:val="en-AU"/>
        </w:rPr>
      </w:pPr>
    </w:p>
    <w:p w14:paraId="407826FD" w14:textId="5102AE95" w:rsidR="007A073C" w:rsidRDefault="007A073C" w:rsidP="00EE11DD">
      <w:pPr>
        <w:rPr>
          <w:lang w:val="en-AU"/>
        </w:rPr>
      </w:pPr>
      <w:r w:rsidRPr="007A073C">
        <w:rPr>
          <w:lang w:val="en-AU"/>
        </w:rPr>
        <w:t xml:space="preserve">Where there are insufficient places at the school for all students who </w:t>
      </w:r>
      <w:r>
        <w:rPr>
          <w:lang w:val="en-AU"/>
        </w:rPr>
        <w:t>are referred for</w:t>
      </w:r>
      <w:r w:rsidRPr="007A073C">
        <w:rPr>
          <w:lang w:val="en-AU"/>
        </w:rPr>
        <w:t xml:space="preserve"> entry, students who meet the eligibility criteria </w:t>
      </w:r>
      <w:r>
        <w:rPr>
          <w:lang w:val="en-AU"/>
        </w:rPr>
        <w:t>for our Flexible Learning Centre campus</w:t>
      </w:r>
      <w:r w:rsidRPr="00EE11DD">
        <w:rPr>
          <w:lang w:val="en-AU"/>
        </w:rPr>
        <w:t xml:space="preserve"> </w:t>
      </w:r>
      <w:r w:rsidRPr="007A073C">
        <w:rPr>
          <w:lang w:val="en-AU"/>
        </w:rPr>
        <w:t>will be enrolled according to the following priority order of placement</w:t>
      </w:r>
      <w:r>
        <w:rPr>
          <w:lang w:val="en-AU"/>
        </w:rPr>
        <w:t xml:space="preserve"> </w:t>
      </w:r>
      <w:r w:rsidRPr="00EE11DD">
        <w:rPr>
          <w:lang w:val="en-AU"/>
        </w:rPr>
        <w:t>that assesses the risks and complexities of each potential student</w:t>
      </w:r>
      <w:r>
        <w:rPr>
          <w:lang w:val="en-AU"/>
        </w:rPr>
        <w:t>.</w:t>
      </w:r>
    </w:p>
    <w:p w14:paraId="1475A432" w14:textId="77777777" w:rsidR="007A073C" w:rsidRDefault="007A073C" w:rsidP="007A073C">
      <w:pPr>
        <w:rPr>
          <w:lang w:val="en-AU"/>
        </w:rPr>
      </w:pPr>
    </w:p>
    <w:p w14:paraId="62076CD6" w14:textId="77777777" w:rsidR="007A073C" w:rsidRDefault="00EE11DD" w:rsidP="007A073C">
      <w:pPr>
        <w:rPr>
          <w:lang w:val="en-AU"/>
        </w:rPr>
      </w:pPr>
      <w:r w:rsidRPr="007A073C">
        <w:rPr>
          <w:lang w:val="en-AU"/>
        </w:rPr>
        <w:t>The Campus Coordinator and Youth Support Worker gather information from the student, the referring person, the previous schools and any other services involved with the student.</w:t>
      </w:r>
    </w:p>
    <w:p w14:paraId="2E1117D8" w14:textId="77777777" w:rsidR="007A073C" w:rsidRDefault="007A073C" w:rsidP="007A073C">
      <w:pPr>
        <w:rPr>
          <w:lang w:val="en-AU"/>
        </w:rPr>
      </w:pPr>
    </w:p>
    <w:p w14:paraId="42CB76E4" w14:textId="77777777" w:rsidR="007A073C" w:rsidRDefault="00EE11DD" w:rsidP="007A073C">
      <w:pPr>
        <w:rPr>
          <w:lang w:val="en-AU"/>
        </w:rPr>
      </w:pPr>
      <w:r w:rsidRPr="007A073C">
        <w:rPr>
          <w:lang w:val="en-AU"/>
        </w:rPr>
        <w:t>Priority of enrolment will be given to</w:t>
      </w:r>
      <w:r w:rsidR="007A073C">
        <w:rPr>
          <w:lang w:val="en-AU"/>
        </w:rPr>
        <w:t>:</w:t>
      </w:r>
    </w:p>
    <w:p w14:paraId="4056F128" w14:textId="3DE4E33B" w:rsidR="00495F00" w:rsidRPr="00495F00" w:rsidRDefault="00FF5D34" w:rsidP="007A073C">
      <w:pPr>
        <w:pStyle w:val="ListParagraph"/>
        <w:numPr>
          <w:ilvl w:val="0"/>
          <w:numId w:val="28"/>
        </w:numPr>
        <w:rPr>
          <w:lang w:val="en-AU"/>
        </w:rPr>
      </w:pPr>
      <w:r>
        <w:rPr>
          <w:rFonts w:eastAsia="Times New Roman"/>
        </w:rPr>
        <w:t>t</w:t>
      </w:r>
      <w:r w:rsidRPr="00495F00">
        <w:rPr>
          <w:rFonts w:eastAsia="Times New Roman"/>
        </w:rPr>
        <w:t xml:space="preserve">hose </w:t>
      </w:r>
      <w:r w:rsidR="00495F00" w:rsidRPr="00495F00">
        <w:rPr>
          <w:rFonts w:eastAsia="Times New Roman"/>
        </w:rPr>
        <w:t xml:space="preserve">young people who require the most assistance to successfully transition from custody into further education and employment </w:t>
      </w:r>
      <w:r>
        <w:rPr>
          <w:rFonts w:eastAsia="Times New Roman"/>
        </w:rPr>
        <w:t>and/or</w:t>
      </w:r>
    </w:p>
    <w:p w14:paraId="613F9F38" w14:textId="143E97EC" w:rsidR="007A073C" w:rsidRPr="00495F00" w:rsidRDefault="002A2568" w:rsidP="007A073C">
      <w:pPr>
        <w:pStyle w:val="ListParagraph"/>
        <w:numPr>
          <w:ilvl w:val="0"/>
          <w:numId w:val="28"/>
        </w:numPr>
        <w:rPr>
          <w:lang w:val="en-AU"/>
        </w:rPr>
      </w:pPr>
      <w:r w:rsidRPr="00495F00">
        <w:rPr>
          <w:lang w:val="en-AU"/>
        </w:rPr>
        <w:t>s</w:t>
      </w:r>
      <w:r w:rsidR="00EE11DD" w:rsidRPr="00495F00">
        <w:rPr>
          <w:lang w:val="en-AU"/>
        </w:rPr>
        <w:t>tudents who identify as Aboriginal or Torres Strait Islander</w:t>
      </w:r>
    </w:p>
    <w:p w14:paraId="31C1E6D8" w14:textId="77777777" w:rsidR="00EE11DD" w:rsidRPr="00EE11DD" w:rsidRDefault="00EE11DD" w:rsidP="00EE11DD">
      <w:pPr>
        <w:rPr>
          <w:lang w:val="en-AU"/>
        </w:rPr>
      </w:pPr>
    </w:p>
    <w:p w14:paraId="1E9BA35A" w14:textId="5220E0B1" w:rsidR="00EE11DD" w:rsidRDefault="00EE11DD" w:rsidP="00EE11DD">
      <w:pPr>
        <w:rPr>
          <w:lang w:val="en-AU"/>
        </w:rPr>
      </w:pPr>
      <w:r w:rsidRPr="00EE11DD">
        <w:rPr>
          <w:lang w:val="en-AU"/>
        </w:rPr>
        <w:t xml:space="preserve">The behaviour of a young person at their previous school will not negatively impact on their ability to </w:t>
      </w:r>
      <w:r w:rsidR="007A073C" w:rsidRPr="00EE11DD">
        <w:rPr>
          <w:lang w:val="en-AU"/>
        </w:rPr>
        <w:t>enrol</w:t>
      </w:r>
      <w:r w:rsidRPr="00EE11DD">
        <w:rPr>
          <w:lang w:val="en-AU"/>
        </w:rPr>
        <w:t xml:space="preserve"> at </w:t>
      </w:r>
      <w:r w:rsidR="007A073C">
        <w:rPr>
          <w:lang w:val="en-AU"/>
        </w:rPr>
        <w:t>our Flexible Learning Centre campus</w:t>
      </w:r>
      <w:r w:rsidRPr="00EE11DD">
        <w:rPr>
          <w:lang w:val="en-AU"/>
        </w:rPr>
        <w:t>.</w:t>
      </w:r>
    </w:p>
    <w:p w14:paraId="5258B8CC" w14:textId="127A686F" w:rsidR="007A073C" w:rsidRDefault="007A073C" w:rsidP="00EE11DD">
      <w:pPr>
        <w:rPr>
          <w:lang w:val="en-AU"/>
        </w:rPr>
      </w:pPr>
    </w:p>
    <w:p w14:paraId="2C051460" w14:textId="77777777" w:rsidR="007A073C" w:rsidRPr="007A073C" w:rsidRDefault="007A073C" w:rsidP="007A073C">
      <w:pPr>
        <w:pStyle w:val="Heading4"/>
        <w:rPr>
          <w:lang w:val="en-AU"/>
        </w:rPr>
      </w:pPr>
      <w:r w:rsidRPr="007A073C">
        <w:rPr>
          <w:lang w:val="en-AU"/>
        </w:rPr>
        <w:t>Enrolment on compassionate grounds</w:t>
      </w:r>
    </w:p>
    <w:p w14:paraId="027E8749" w14:textId="1BAB8125" w:rsidR="00F57CCA" w:rsidRDefault="007A073C" w:rsidP="00F57CCA">
      <w:pPr>
        <w:rPr>
          <w:lang w:val="en-AU"/>
        </w:rPr>
      </w:pPr>
      <w:r w:rsidRPr="007A073C">
        <w:rPr>
          <w:lang w:val="en-AU"/>
        </w:rPr>
        <w:t xml:space="preserve">In exceptional circumstances, a student may be enrolled </w:t>
      </w:r>
      <w:r>
        <w:rPr>
          <w:lang w:val="en-AU"/>
        </w:rPr>
        <w:t>at Parkville College’s Flexible Learning Centre campus</w:t>
      </w:r>
      <w:r w:rsidRPr="007A073C">
        <w:rPr>
          <w:lang w:val="en-AU"/>
        </w:rPr>
        <w:t xml:space="preserve"> based on compassionate grounds. This is an overarching consideration and does not form part of the priority order of placement. The school </w:t>
      </w:r>
      <w:r w:rsidR="00D6200C">
        <w:rPr>
          <w:lang w:val="en-AU"/>
        </w:rPr>
        <w:t xml:space="preserve">and the </w:t>
      </w:r>
      <w:r w:rsidR="000210B7">
        <w:rPr>
          <w:lang w:val="en-AU"/>
        </w:rPr>
        <w:t>Regional Director</w:t>
      </w:r>
      <w:r w:rsidR="00D6200C">
        <w:rPr>
          <w:lang w:val="en-AU"/>
        </w:rPr>
        <w:t xml:space="preserve"> </w:t>
      </w:r>
      <w:r w:rsidRPr="007A073C">
        <w:rPr>
          <w:lang w:val="en-AU"/>
        </w:rPr>
        <w:t>will assess and make a determination for applications on compassionate grounds on a case-by-case basis</w:t>
      </w:r>
      <w:r w:rsidR="00D6200C">
        <w:rPr>
          <w:lang w:val="en-AU"/>
        </w:rPr>
        <w:t xml:space="preserve"> in line with the DET </w:t>
      </w:r>
      <w:r w:rsidR="00FA72CF">
        <w:rPr>
          <w:rStyle w:val="Hyperlink"/>
          <w:lang w:val="en-AU"/>
        </w:rPr>
        <w:t xml:space="preserve"> </w:t>
      </w:r>
      <w:hyperlink r:id="rId18" w:history="1">
        <w:r w:rsidR="00FA72CF" w:rsidRPr="00FA72CF">
          <w:rPr>
            <w:rStyle w:val="Hyperlink"/>
          </w:rPr>
          <w:t>Placement Policy</w:t>
        </w:r>
      </w:hyperlink>
      <w:r w:rsidRPr="007A073C">
        <w:rPr>
          <w:lang w:val="en-AU"/>
        </w:rPr>
        <w:t>.</w:t>
      </w:r>
    </w:p>
    <w:p w14:paraId="7F3A63F5" w14:textId="684F6681" w:rsidR="006D33DF" w:rsidRDefault="006D33DF" w:rsidP="00F57CCA">
      <w:pPr>
        <w:rPr>
          <w:lang w:val="en-AU"/>
        </w:rPr>
      </w:pPr>
    </w:p>
    <w:p w14:paraId="491C411F" w14:textId="0202E1C7" w:rsidR="006D33DF" w:rsidRDefault="006D33DF" w:rsidP="006D33DF">
      <w:pPr>
        <w:pStyle w:val="Heading2"/>
        <w:rPr>
          <w:lang w:val="en-AU"/>
        </w:rPr>
      </w:pPr>
      <w:bookmarkStart w:id="5" w:name="_Toc97294796"/>
      <w:r>
        <w:rPr>
          <w:lang w:val="en-AU"/>
        </w:rPr>
        <w:t>Evidence requirements</w:t>
      </w:r>
      <w:bookmarkEnd w:id="5"/>
    </w:p>
    <w:p w14:paraId="5EF2FCC0" w14:textId="1D8632D9" w:rsidR="0004187B" w:rsidRPr="0004187B" w:rsidRDefault="00C17731" w:rsidP="0004187B">
      <w:pPr>
        <w:rPr>
          <w:lang w:val="en-AU"/>
        </w:rPr>
      </w:pPr>
      <w:r>
        <w:rPr>
          <w:lang w:val="en-AU"/>
        </w:rPr>
        <w:t xml:space="preserve">When a referral is made to our Flexible Learning Campus the </w:t>
      </w:r>
      <w:r w:rsidRPr="0084450B">
        <w:rPr>
          <w:rFonts w:ascii="Franklin Gothic Book" w:hAnsi="Franklin Gothic Book"/>
          <w:lang w:val="en-AU"/>
        </w:rPr>
        <w:t xml:space="preserve">Campus Coordinator and Youth Support Worker </w:t>
      </w:r>
      <w:r w:rsidR="0004187B" w:rsidRPr="0004187B">
        <w:rPr>
          <w:lang w:val="en-AU"/>
        </w:rPr>
        <w:t xml:space="preserve">will undertake an assessment to </w:t>
      </w:r>
      <w:r w:rsidR="00107077">
        <w:rPr>
          <w:lang w:val="en-AU"/>
        </w:rPr>
        <w:t>determine</w:t>
      </w:r>
      <w:r w:rsidR="00107077" w:rsidRPr="0004187B">
        <w:rPr>
          <w:lang w:val="en-AU"/>
        </w:rPr>
        <w:t xml:space="preserve"> </w:t>
      </w:r>
      <w:r w:rsidR="0004187B" w:rsidRPr="0004187B">
        <w:rPr>
          <w:lang w:val="en-AU"/>
        </w:rPr>
        <w:t>whether the referral is appropriate. The assessment consists of information gathered from contact with:</w:t>
      </w:r>
    </w:p>
    <w:p w14:paraId="2AD73315" w14:textId="77777777" w:rsidR="0004187B" w:rsidRPr="0004187B" w:rsidRDefault="0004187B" w:rsidP="0004187B">
      <w:pPr>
        <w:numPr>
          <w:ilvl w:val="0"/>
          <w:numId w:val="14"/>
        </w:numPr>
        <w:rPr>
          <w:lang w:val="en-AU"/>
        </w:rPr>
      </w:pPr>
      <w:r w:rsidRPr="0004187B">
        <w:rPr>
          <w:lang w:val="en-AU"/>
        </w:rPr>
        <w:t>the referred student and parent/carer</w:t>
      </w:r>
    </w:p>
    <w:p w14:paraId="1CCF8499" w14:textId="77777777" w:rsidR="0004187B" w:rsidRPr="0004187B" w:rsidRDefault="0004187B" w:rsidP="0004187B">
      <w:pPr>
        <w:numPr>
          <w:ilvl w:val="0"/>
          <w:numId w:val="14"/>
        </w:numPr>
        <w:rPr>
          <w:lang w:val="en-AU"/>
        </w:rPr>
      </w:pPr>
      <w:r w:rsidRPr="0004187B">
        <w:rPr>
          <w:lang w:val="en-AU"/>
        </w:rPr>
        <w:t>the referring person or agency</w:t>
      </w:r>
    </w:p>
    <w:p w14:paraId="601E9E7F" w14:textId="77777777" w:rsidR="0004187B" w:rsidRPr="0004187B" w:rsidRDefault="0004187B" w:rsidP="0004187B">
      <w:pPr>
        <w:numPr>
          <w:ilvl w:val="0"/>
          <w:numId w:val="14"/>
        </w:numPr>
        <w:rPr>
          <w:lang w:val="en-AU"/>
        </w:rPr>
      </w:pPr>
      <w:r w:rsidRPr="0004187B">
        <w:rPr>
          <w:lang w:val="en-AU"/>
        </w:rPr>
        <w:t>the student’s previous school</w:t>
      </w:r>
    </w:p>
    <w:p w14:paraId="11B361D4" w14:textId="77777777" w:rsidR="0004187B" w:rsidRPr="0004187B" w:rsidRDefault="0004187B" w:rsidP="0004187B">
      <w:pPr>
        <w:numPr>
          <w:ilvl w:val="0"/>
          <w:numId w:val="14"/>
        </w:numPr>
        <w:rPr>
          <w:lang w:val="en-AU"/>
        </w:rPr>
      </w:pPr>
      <w:r w:rsidRPr="0004187B">
        <w:rPr>
          <w:lang w:val="en-AU"/>
        </w:rPr>
        <w:t>professionals working with the student</w:t>
      </w:r>
    </w:p>
    <w:p w14:paraId="29BCC6E0" w14:textId="77777777" w:rsidR="0004187B" w:rsidRPr="0004187B" w:rsidRDefault="0004187B" w:rsidP="0004187B">
      <w:pPr>
        <w:numPr>
          <w:ilvl w:val="0"/>
          <w:numId w:val="14"/>
        </w:numPr>
        <w:rPr>
          <w:lang w:val="en-AU"/>
        </w:rPr>
      </w:pPr>
      <w:r w:rsidRPr="0004187B">
        <w:rPr>
          <w:lang w:val="en-AU"/>
        </w:rPr>
        <w:t>DET regional staff involved with the student, school and family</w:t>
      </w:r>
    </w:p>
    <w:p w14:paraId="47C8FE4F" w14:textId="77777777" w:rsidR="00C17731" w:rsidRDefault="00C17731" w:rsidP="0004187B">
      <w:pPr>
        <w:rPr>
          <w:lang w:val="en-AU"/>
        </w:rPr>
      </w:pPr>
    </w:p>
    <w:p w14:paraId="45C0DF8B" w14:textId="041FC74E" w:rsidR="00C17731" w:rsidRPr="00C17731" w:rsidRDefault="0004187B" w:rsidP="00C17731">
      <w:pPr>
        <w:rPr>
          <w:lang w:val="en-AU"/>
        </w:rPr>
      </w:pPr>
      <w:r w:rsidRPr="0004187B">
        <w:rPr>
          <w:lang w:val="en-AU"/>
        </w:rPr>
        <w:t>If assessed as an appropriate referral then the student will begin the intake process.</w:t>
      </w:r>
    </w:p>
    <w:p w14:paraId="03ACEA8E" w14:textId="77777777" w:rsidR="006D33DF" w:rsidRDefault="006D33DF" w:rsidP="006D33DF">
      <w:pPr>
        <w:rPr>
          <w:lang w:val="en-AU"/>
        </w:rPr>
      </w:pPr>
    </w:p>
    <w:p w14:paraId="3273CF76" w14:textId="5DFA5AEF" w:rsidR="00F57CCA" w:rsidRPr="006D33DF" w:rsidRDefault="006D33DF" w:rsidP="006D33DF">
      <w:pPr>
        <w:rPr>
          <w:lang w:val="en-AU"/>
        </w:rPr>
      </w:pPr>
      <w:r w:rsidRPr="006D33DF">
        <w:rPr>
          <w:lang w:val="en-AU"/>
        </w:rPr>
        <w:t xml:space="preserve"> </w:t>
      </w:r>
      <w:r w:rsidR="00107077">
        <w:rPr>
          <w:lang w:val="en-AU"/>
        </w:rPr>
        <w:t xml:space="preserve">Where </w:t>
      </w:r>
      <w:r w:rsidR="000210B7">
        <w:rPr>
          <w:lang w:val="en-AU"/>
        </w:rPr>
        <w:t xml:space="preserve">an application to enrol </w:t>
      </w:r>
      <w:r w:rsidR="007F16BF">
        <w:rPr>
          <w:lang w:val="en-AU"/>
        </w:rPr>
        <w:t xml:space="preserve">at our Flexible Learning Centre campus </w:t>
      </w:r>
      <w:r w:rsidR="000210B7">
        <w:rPr>
          <w:lang w:val="en-AU"/>
        </w:rPr>
        <w:t>is not successful, a</w:t>
      </w:r>
      <w:r w:rsidRPr="006D33DF">
        <w:rPr>
          <w:lang w:val="en-AU"/>
        </w:rPr>
        <w:t>pplicants may then seek to appeal the decision according to the Appeal process outlined below.</w:t>
      </w:r>
    </w:p>
    <w:p w14:paraId="5589F97F" w14:textId="179E143E" w:rsidR="006D33DF" w:rsidRDefault="006D33DF" w:rsidP="006D33DF">
      <w:pPr>
        <w:rPr>
          <w:rFonts w:asciiTheme="majorHAnsi" w:hAnsiTheme="majorHAnsi"/>
          <w:sz w:val="22"/>
          <w:lang w:val="en-AU"/>
        </w:rPr>
      </w:pPr>
    </w:p>
    <w:p w14:paraId="2666130E" w14:textId="22B48E03" w:rsidR="006D33DF" w:rsidRPr="006D33DF" w:rsidRDefault="006D33DF" w:rsidP="006D33DF">
      <w:pPr>
        <w:pStyle w:val="Heading2"/>
        <w:rPr>
          <w:lang w:val="en-AU"/>
        </w:rPr>
      </w:pPr>
      <w:bookmarkStart w:id="6" w:name="_Toc97294797"/>
      <w:r w:rsidRPr="006D33DF">
        <w:rPr>
          <w:lang w:val="en-AU"/>
        </w:rPr>
        <w:t>Appeal process</w:t>
      </w:r>
      <w:bookmarkEnd w:id="6"/>
    </w:p>
    <w:p w14:paraId="34F5D894" w14:textId="687F6175" w:rsidR="006D33DF" w:rsidRPr="006D33DF" w:rsidRDefault="006D33DF" w:rsidP="006D33DF">
      <w:pPr>
        <w:rPr>
          <w:lang w:val="en-AU"/>
        </w:rPr>
      </w:pPr>
      <w:r w:rsidRPr="006D33DF">
        <w:rPr>
          <w:lang w:val="en-AU"/>
        </w:rPr>
        <w:t xml:space="preserve">Parents/carers are able to appeal against </w:t>
      </w:r>
      <w:r>
        <w:rPr>
          <w:lang w:val="en-AU"/>
        </w:rPr>
        <w:t>Parkville College</w:t>
      </w:r>
      <w:r w:rsidRPr="006D33DF">
        <w:rPr>
          <w:lang w:val="en-AU"/>
        </w:rPr>
        <w:t>'s decision not to provide a placement</w:t>
      </w:r>
      <w:r w:rsidR="009C741D">
        <w:rPr>
          <w:lang w:val="en-AU"/>
        </w:rPr>
        <w:t xml:space="preserve"> in our Flexible Learning Campus</w:t>
      </w:r>
      <w:r w:rsidRPr="006D33DF">
        <w:rPr>
          <w:lang w:val="en-AU"/>
        </w:rPr>
        <w:t xml:space="preserve">. </w:t>
      </w:r>
      <w:r w:rsidR="009C741D">
        <w:rPr>
          <w:lang w:val="en-AU"/>
        </w:rPr>
        <w:t>T</w:t>
      </w:r>
      <w:r w:rsidRPr="006D33DF">
        <w:rPr>
          <w:lang w:val="en-AU"/>
        </w:rPr>
        <w:t>he following process applies:</w:t>
      </w:r>
    </w:p>
    <w:p w14:paraId="0F6D7FD6" w14:textId="3110130D" w:rsidR="006D33DF" w:rsidRPr="006D33DF" w:rsidRDefault="006D33DF" w:rsidP="006D33DF">
      <w:pPr>
        <w:pStyle w:val="ListParagraph"/>
        <w:numPr>
          <w:ilvl w:val="0"/>
          <w:numId w:val="29"/>
        </w:numPr>
        <w:rPr>
          <w:lang w:val="en-AU"/>
        </w:rPr>
      </w:pPr>
      <w:r w:rsidRPr="006D33DF">
        <w:rPr>
          <w:b/>
          <w:bCs/>
          <w:lang w:val="en-AU"/>
        </w:rPr>
        <w:t>Appeal to the Principal</w:t>
      </w:r>
      <w:r>
        <w:rPr>
          <w:lang w:val="en-AU"/>
        </w:rPr>
        <w:br/>
      </w:r>
      <w:r w:rsidRPr="006D33DF">
        <w:rPr>
          <w:lang w:val="en-AU"/>
        </w:rPr>
        <w:t>Appeals are to be made in writing and lodged with the Principal.</w:t>
      </w:r>
      <w:r>
        <w:rPr>
          <w:lang w:val="en-AU"/>
        </w:rPr>
        <w:br/>
      </w:r>
      <w:r>
        <w:rPr>
          <w:lang w:val="en-AU"/>
        </w:rPr>
        <w:br/>
      </w:r>
      <w:r w:rsidRPr="006D33DF">
        <w:rPr>
          <w:lang w:val="en-AU"/>
        </w:rPr>
        <w:t xml:space="preserve">The school’s decision will be communicated to the parent/carer in writing. In assessing the appeal, the school will check to ensure compliance with the priority order of </w:t>
      </w:r>
      <w:proofErr w:type="gramStart"/>
      <w:r w:rsidRPr="006D33DF">
        <w:rPr>
          <w:lang w:val="en-AU"/>
        </w:rPr>
        <w:t>placement</w:t>
      </w:r>
      <w:r w:rsidR="009C741D">
        <w:rPr>
          <w:lang w:val="en-AU"/>
        </w:rPr>
        <w:t>.</w:t>
      </w:r>
      <w:r w:rsidRPr="006D33DF">
        <w:rPr>
          <w:lang w:val="en-AU"/>
        </w:rPr>
        <w:t>.</w:t>
      </w:r>
      <w:proofErr w:type="gramEnd"/>
      <w:r>
        <w:rPr>
          <w:lang w:val="en-AU"/>
        </w:rPr>
        <w:br/>
      </w:r>
    </w:p>
    <w:p w14:paraId="2A89DC55" w14:textId="65DF4986" w:rsidR="002C58FE" w:rsidRPr="002C58FE" w:rsidRDefault="006D33DF" w:rsidP="002C58FE">
      <w:pPr>
        <w:pStyle w:val="ListParagraph"/>
        <w:numPr>
          <w:ilvl w:val="0"/>
          <w:numId w:val="29"/>
        </w:numPr>
        <w:rPr>
          <w:b/>
          <w:bCs/>
          <w:lang w:val="en-AU"/>
        </w:rPr>
      </w:pPr>
      <w:r w:rsidRPr="006D33DF">
        <w:rPr>
          <w:b/>
          <w:bCs/>
          <w:lang w:val="en-AU"/>
        </w:rPr>
        <w:t>Appeal to the Regional Director, South Western Victoria Region</w:t>
      </w:r>
      <w:r>
        <w:rPr>
          <w:b/>
          <w:bCs/>
          <w:lang w:val="en-AU"/>
        </w:rPr>
        <w:br/>
      </w:r>
      <w:r w:rsidRPr="006D33DF">
        <w:rPr>
          <w:lang w:val="en-AU"/>
        </w:rPr>
        <w:t xml:space="preserve">If the appeal at the school level is unsuccessful and parents/carers are not satisfied that their appeal has been adequately considered, they are able to escalate this by lodging an appeal in writing </w:t>
      </w:r>
      <w:r w:rsidR="002C58FE">
        <w:rPr>
          <w:lang w:val="en-AU"/>
        </w:rPr>
        <w:t xml:space="preserve">by email to </w:t>
      </w:r>
      <w:hyperlink r:id="rId19" w:history="1">
        <w:r w:rsidR="002C58FE" w:rsidRPr="001D1F92">
          <w:rPr>
            <w:rStyle w:val="Hyperlink"/>
            <w:lang w:val="en-AU"/>
          </w:rPr>
          <w:t>swvr@education.vic.gov.au</w:t>
        </w:r>
      </w:hyperlink>
      <w:r w:rsidR="002C58FE">
        <w:rPr>
          <w:lang w:val="en-AU"/>
        </w:rPr>
        <w:t xml:space="preserve"> or by mail to:</w:t>
      </w:r>
    </w:p>
    <w:p w14:paraId="07F0A0AF" w14:textId="444873A8" w:rsidR="006D33DF" w:rsidRDefault="006D33DF" w:rsidP="006D33DF">
      <w:pPr>
        <w:pStyle w:val="ListParagraph"/>
        <w:ind w:left="1440"/>
        <w:rPr>
          <w:lang w:val="en-AU"/>
        </w:rPr>
      </w:pPr>
      <w:r>
        <w:rPr>
          <w:lang w:val="en-AU"/>
        </w:rPr>
        <w:t>Regional Director – South Western Victoria Region</w:t>
      </w:r>
      <w:r>
        <w:rPr>
          <w:lang w:val="en-AU"/>
        </w:rPr>
        <w:br/>
      </w:r>
      <w:r w:rsidRPr="006D33DF">
        <w:rPr>
          <w:lang w:val="en-AU"/>
        </w:rPr>
        <w:t>PO Box 2141</w:t>
      </w:r>
    </w:p>
    <w:p w14:paraId="4F094B13" w14:textId="7977E748" w:rsidR="006D33DF" w:rsidRPr="006D33DF" w:rsidRDefault="006D33DF" w:rsidP="006D33DF">
      <w:pPr>
        <w:pStyle w:val="ListParagraph"/>
        <w:ind w:left="1440"/>
        <w:rPr>
          <w:lang w:val="en-AU"/>
        </w:rPr>
      </w:pPr>
      <w:r w:rsidRPr="006D33DF">
        <w:rPr>
          <w:lang w:val="en-AU"/>
        </w:rPr>
        <w:t>Footscray, VIC 3011</w:t>
      </w:r>
    </w:p>
    <w:p w14:paraId="6F541408" w14:textId="77777777" w:rsidR="006D33DF" w:rsidRPr="0084450B" w:rsidRDefault="006D33DF" w:rsidP="006D33DF">
      <w:pPr>
        <w:rPr>
          <w:rFonts w:asciiTheme="majorHAnsi" w:hAnsiTheme="majorHAnsi"/>
          <w:sz w:val="22"/>
          <w:lang w:val="en-AU"/>
        </w:rPr>
      </w:pPr>
    </w:p>
    <w:p w14:paraId="4EB3D02B" w14:textId="47FF688C" w:rsidR="002C58FE" w:rsidRDefault="002C58FE" w:rsidP="00F57CCA">
      <w:pPr>
        <w:pStyle w:val="Heading2"/>
        <w:rPr>
          <w:lang w:val="en-AU"/>
        </w:rPr>
      </w:pPr>
      <w:bookmarkStart w:id="7" w:name="_Toc97294798"/>
      <w:r>
        <w:rPr>
          <w:lang w:val="en-AU"/>
        </w:rPr>
        <w:t>Communication</w:t>
      </w:r>
      <w:bookmarkEnd w:id="7"/>
    </w:p>
    <w:p w14:paraId="77FDE99A" w14:textId="7E6E4407" w:rsidR="002C58FE" w:rsidRDefault="002C58FE" w:rsidP="002C58FE">
      <w:pPr>
        <w:rPr>
          <w:lang w:val="en-AU"/>
        </w:rPr>
      </w:pPr>
      <w:r w:rsidRPr="002C58FE">
        <w:rPr>
          <w:lang w:val="en-AU"/>
        </w:rPr>
        <w:t>This policy will be communicated to our school community in the following ways</w:t>
      </w:r>
      <w:r>
        <w:rPr>
          <w:lang w:val="en-AU"/>
        </w:rPr>
        <w:t>:</w:t>
      </w:r>
    </w:p>
    <w:p w14:paraId="6734BFC5" w14:textId="3DF6E39D" w:rsidR="002C58FE" w:rsidRDefault="002C58FE" w:rsidP="002C58FE">
      <w:pPr>
        <w:pStyle w:val="ListParagraph"/>
        <w:numPr>
          <w:ilvl w:val="0"/>
          <w:numId w:val="33"/>
        </w:numPr>
        <w:rPr>
          <w:lang w:val="en-AU"/>
        </w:rPr>
      </w:pPr>
      <w:r>
        <w:rPr>
          <w:lang w:val="en-AU"/>
        </w:rPr>
        <w:t>Published on our school website</w:t>
      </w:r>
    </w:p>
    <w:p w14:paraId="5DD76D18" w14:textId="3B3E93C6" w:rsidR="002C58FE" w:rsidRPr="002C58FE" w:rsidRDefault="002C58FE" w:rsidP="002C58FE">
      <w:pPr>
        <w:pStyle w:val="ListParagraph"/>
        <w:numPr>
          <w:ilvl w:val="0"/>
          <w:numId w:val="33"/>
        </w:numPr>
        <w:rPr>
          <w:lang w:val="en-AU"/>
        </w:rPr>
      </w:pPr>
      <w:r w:rsidRPr="002C58FE">
        <w:rPr>
          <w:lang w:val="en-AU"/>
        </w:rPr>
        <w:t>Made available in hard copy from school administration</w:t>
      </w:r>
      <w:r w:rsidR="00F73E1A">
        <w:rPr>
          <w:lang w:val="en-AU"/>
        </w:rPr>
        <w:t xml:space="preserve"> at our Flexible Learning Centre campus</w:t>
      </w:r>
      <w:r w:rsidRPr="002C58FE">
        <w:rPr>
          <w:lang w:val="en-AU"/>
        </w:rPr>
        <w:t xml:space="preserve"> upon request </w:t>
      </w:r>
    </w:p>
    <w:p w14:paraId="7259A86E" w14:textId="77777777" w:rsidR="002C58FE" w:rsidRPr="002C58FE" w:rsidRDefault="002C58FE" w:rsidP="002C58FE">
      <w:pPr>
        <w:rPr>
          <w:lang w:val="en-AU"/>
        </w:rPr>
      </w:pPr>
    </w:p>
    <w:p w14:paraId="276DD681" w14:textId="5B754976" w:rsidR="00F57CCA" w:rsidRDefault="002C58FE" w:rsidP="00F57CCA">
      <w:pPr>
        <w:pStyle w:val="Heading2"/>
        <w:rPr>
          <w:lang w:val="en-AU"/>
        </w:rPr>
      </w:pPr>
      <w:bookmarkStart w:id="8" w:name="_Toc97294799"/>
      <w:r>
        <w:rPr>
          <w:lang w:val="en-AU"/>
        </w:rPr>
        <w:t>Further information and resources</w:t>
      </w:r>
      <w:bookmarkEnd w:id="8"/>
    </w:p>
    <w:p w14:paraId="170AC9BA" w14:textId="0FC4A90F" w:rsidR="002A2568" w:rsidRPr="002A2568" w:rsidRDefault="002A2568" w:rsidP="002A2568">
      <w:pPr>
        <w:rPr>
          <w:lang w:val="en-AU"/>
        </w:rPr>
      </w:pPr>
      <w:r w:rsidRPr="002A2568">
        <w:rPr>
          <w:lang w:val="en-AU"/>
        </w:rPr>
        <w:t xml:space="preserve">This policy should be read alongside and in conjunction with the following </w:t>
      </w:r>
      <w:r>
        <w:rPr>
          <w:lang w:val="en-AU"/>
        </w:rPr>
        <w:t>DET</w:t>
      </w:r>
      <w:r w:rsidRPr="002A2568">
        <w:rPr>
          <w:lang w:val="en-AU"/>
        </w:rPr>
        <w:t xml:space="preserve"> policies:</w:t>
      </w:r>
    </w:p>
    <w:p w14:paraId="13E996DA" w14:textId="77777777" w:rsidR="002A2568" w:rsidRPr="002A2568" w:rsidRDefault="008D67B3" w:rsidP="002A2568">
      <w:pPr>
        <w:numPr>
          <w:ilvl w:val="0"/>
          <w:numId w:val="34"/>
        </w:numPr>
        <w:rPr>
          <w:lang w:val="en-AU"/>
        </w:rPr>
      </w:pPr>
      <w:hyperlink r:id="rId20" w:history="1">
        <w:r w:rsidR="002A2568" w:rsidRPr="002A2568">
          <w:rPr>
            <w:rStyle w:val="Hyperlink"/>
            <w:lang w:val="en-AU"/>
          </w:rPr>
          <w:t>Enrolment</w:t>
        </w:r>
      </w:hyperlink>
    </w:p>
    <w:p w14:paraId="034CD81B" w14:textId="77777777" w:rsidR="002A2568" w:rsidRPr="002A2568" w:rsidRDefault="008D67B3" w:rsidP="002A2568">
      <w:pPr>
        <w:numPr>
          <w:ilvl w:val="0"/>
          <w:numId w:val="35"/>
        </w:numPr>
      </w:pPr>
      <w:hyperlink r:id="rId21" w:history="1">
        <w:r w:rsidR="002A2568" w:rsidRPr="002A2568">
          <w:rPr>
            <w:rStyle w:val="Hyperlink"/>
          </w:rPr>
          <w:t>Exemptions from School Attendance and Enrolment</w:t>
        </w:r>
      </w:hyperlink>
    </w:p>
    <w:p w14:paraId="3D9009CF" w14:textId="70D69635" w:rsidR="002A2568" w:rsidRPr="002A2568" w:rsidRDefault="008D67B3" w:rsidP="002A2568">
      <w:pPr>
        <w:numPr>
          <w:ilvl w:val="0"/>
          <w:numId w:val="35"/>
        </w:numPr>
      </w:pPr>
      <w:hyperlink r:id="rId22" w:history="1">
        <w:r w:rsidR="002A2568" w:rsidRPr="002A2568">
          <w:rPr>
            <w:rStyle w:val="Hyperlink"/>
            <w:lang w:val="en-AU"/>
          </w:rPr>
          <w:t>Schools’ Privacy Policy</w:t>
        </w:r>
      </w:hyperlink>
    </w:p>
    <w:p w14:paraId="62CB6EAC" w14:textId="77777777" w:rsidR="002A2568" w:rsidRPr="002A2568" w:rsidRDefault="002A2568" w:rsidP="002A2568">
      <w:pPr>
        <w:rPr>
          <w:lang w:val="en-AU"/>
        </w:rPr>
      </w:pPr>
    </w:p>
    <w:p w14:paraId="6936FCA0" w14:textId="7EFDF60E" w:rsidR="00891CFD" w:rsidRPr="0084450B" w:rsidRDefault="00891CFD" w:rsidP="00A704D5">
      <w:pPr>
        <w:pStyle w:val="Heading2"/>
        <w:rPr>
          <w:lang w:val="en-AU"/>
        </w:rPr>
      </w:pPr>
      <w:bookmarkStart w:id="9" w:name="_Toc97294800"/>
      <w:r w:rsidRPr="0084450B">
        <w:rPr>
          <w:lang w:val="en-AU"/>
        </w:rPr>
        <w:t>Appendices</w:t>
      </w:r>
      <w:bookmarkEnd w:id="9"/>
    </w:p>
    <w:p w14:paraId="2E8F4B4E" w14:textId="5A2BA5BC" w:rsidR="00891CFD" w:rsidRPr="0084450B" w:rsidRDefault="00891CFD" w:rsidP="00891CFD">
      <w:pPr>
        <w:pStyle w:val="ListParagraph"/>
        <w:numPr>
          <w:ilvl w:val="0"/>
          <w:numId w:val="17"/>
        </w:numPr>
        <w:rPr>
          <w:lang w:val="en-AU"/>
        </w:rPr>
      </w:pPr>
      <w:r w:rsidRPr="0084450B">
        <w:rPr>
          <w:lang w:val="en-AU"/>
        </w:rPr>
        <w:t>Parkville campus enrolment guidelines</w:t>
      </w:r>
    </w:p>
    <w:p w14:paraId="4A48AC1A" w14:textId="1DDD52AA" w:rsidR="00891CFD" w:rsidRPr="0084450B" w:rsidRDefault="00891CFD" w:rsidP="00891CFD">
      <w:pPr>
        <w:pStyle w:val="ListParagraph"/>
        <w:numPr>
          <w:ilvl w:val="0"/>
          <w:numId w:val="17"/>
        </w:numPr>
        <w:rPr>
          <w:lang w:val="en-AU"/>
        </w:rPr>
      </w:pPr>
      <w:r w:rsidRPr="0084450B">
        <w:rPr>
          <w:lang w:val="en-AU"/>
        </w:rPr>
        <w:t xml:space="preserve">Malmsbury </w:t>
      </w:r>
      <w:r w:rsidR="007E7255" w:rsidRPr="0084450B">
        <w:rPr>
          <w:lang w:val="en-AU"/>
        </w:rPr>
        <w:t>C</w:t>
      </w:r>
      <w:r w:rsidRPr="0084450B">
        <w:rPr>
          <w:lang w:val="en-AU"/>
        </w:rPr>
        <w:t>ampus enrolment guidelines</w:t>
      </w:r>
    </w:p>
    <w:p w14:paraId="60FF4732" w14:textId="7DBE6830" w:rsidR="00891CFD" w:rsidRPr="0084450B" w:rsidRDefault="00891CFD" w:rsidP="00891CFD">
      <w:pPr>
        <w:pStyle w:val="ListParagraph"/>
        <w:numPr>
          <w:ilvl w:val="0"/>
          <w:numId w:val="17"/>
        </w:numPr>
        <w:rPr>
          <w:lang w:val="en-AU"/>
        </w:rPr>
      </w:pPr>
      <w:r w:rsidRPr="0084450B">
        <w:rPr>
          <w:iCs/>
          <w:lang w:val="en-AU"/>
        </w:rPr>
        <w:t>Secure Care campuses enrolment guidelines</w:t>
      </w:r>
    </w:p>
    <w:p w14:paraId="2F698274" w14:textId="4900957F" w:rsidR="00891CFD" w:rsidRPr="0084450B" w:rsidRDefault="00891CFD" w:rsidP="00891CFD">
      <w:pPr>
        <w:pStyle w:val="ListParagraph"/>
        <w:numPr>
          <w:ilvl w:val="0"/>
          <w:numId w:val="17"/>
        </w:numPr>
        <w:rPr>
          <w:lang w:val="en-AU"/>
        </w:rPr>
      </w:pPr>
      <w:r w:rsidRPr="0084450B">
        <w:rPr>
          <w:iCs/>
          <w:lang w:val="en-AU"/>
        </w:rPr>
        <w:t>Flexible Learning Centre enrolment guidelines</w:t>
      </w:r>
    </w:p>
    <w:p w14:paraId="29A8DB0C" w14:textId="77777777" w:rsidR="00891CFD" w:rsidRPr="0084450B" w:rsidRDefault="00891CFD" w:rsidP="00DF380B">
      <w:pPr>
        <w:rPr>
          <w:lang w:val="en-AU"/>
        </w:rPr>
      </w:pPr>
    </w:p>
    <w:p w14:paraId="3837C12E" w14:textId="77777777" w:rsidR="007227CA" w:rsidRPr="0084450B" w:rsidRDefault="007227CA" w:rsidP="00F57CCA">
      <w:pPr>
        <w:pStyle w:val="Heading2"/>
        <w:rPr>
          <w:lang w:val="en-AU"/>
        </w:rPr>
      </w:pPr>
      <w:r w:rsidRPr="0084450B">
        <w:rPr>
          <w:lang w:val="en-AU"/>
        </w:rPr>
        <w:br w:type="page"/>
      </w:r>
    </w:p>
    <w:p w14:paraId="61426B56" w14:textId="77777777" w:rsidR="007227CA" w:rsidRPr="0084450B" w:rsidRDefault="007227CA" w:rsidP="00F57CCA">
      <w:pPr>
        <w:pStyle w:val="Heading2"/>
        <w:rPr>
          <w:lang w:val="en-AU"/>
        </w:rPr>
        <w:sectPr w:rsidR="007227CA" w:rsidRPr="0084450B" w:rsidSect="00E42348">
          <w:headerReference w:type="default" r:id="rId23"/>
          <w:footerReference w:type="default" r:id="rId24"/>
          <w:headerReference w:type="first" r:id="rId25"/>
          <w:footerReference w:type="first" r:id="rId26"/>
          <w:pgSz w:w="11900" w:h="16840"/>
          <w:pgMar w:top="2959" w:right="1440" w:bottom="1440" w:left="1342" w:header="708" w:footer="708" w:gutter="0"/>
          <w:pgNumType w:fmt="numberInDash"/>
          <w:cols w:space="708"/>
          <w:titlePg/>
          <w:docGrid w:linePitch="360"/>
        </w:sectPr>
      </w:pPr>
    </w:p>
    <w:p w14:paraId="5B2A7B7B" w14:textId="78C93E58" w:rsidR="00F57CCA" w:rsidRPr="00C17731" w:rsidRDefault="00F57CCA" w:rsidP="00C17731">
      <w:pPr>
        <w:pStyle w:val="Heading2"/>
        <w:rPr>
          <w:lang w:val="en-AU"/>
        </w:rPr>
      </w:pPr>
      <w:bookmarkStart w:id="10" w:name="_Toc97294801"/>
      <w:r w:rsidRPr="0084450B">
        <w:rPr>
          <w:lang w:val="en-AU"/>
        </w:rPr>
        <w:t>Campus Specific Admissions and Enrolment Processes and Responsibilities</w:t>
      </w:r>
      <w:bookmarkEnd w:id="10"/>
    </w:p>
    <w:p w14:paraId="67BB99C7" w14:textId="59141C94" w:rsidR="00F57CCA" w:rsidRPr="0084450B" w:rsidRDefault="008E0BF9" w:rsidP="00C17731">
      <w:pPr>
        <w:pStyle w:val="Heading3"/>
        <w:rPr>
          <w:lang w:val="en-AU"/>
        </w:rPr>
      </w:pPr>
      <w:bookmarkStart w:id="11" w:name="_Toc97294802"/>
      <w:r w:rsidRPr="0084450B">
        <w:rPr>
          <w:lang w:val="en-AU"/>
        </w:rPr>
        <w:t>Parkville</w:t>
      </w:r>
      <w:r w:rsidR="00030FE0" w:rsidRPr="0084450B">
        <w:rPr>
          <w:lang w:val="en-AU"/>
        </w:rPr>
        <w:t xml:space="preserve"> Campus</w:t>
      </w:r>
      <w:bookmarkEnd w:id="11"/>
      <w:r w:rsidR="00030FE0" w:rsidRPr="0084450B">
        <w:rPr>
          <w:lang w:val="en-AU"/>
        </w:rPr>
        <w:t xml:space="preserve"> </w:t>
      </w:r>
    </w:p>
    <w:p w14:paraId="73993673" w14:textId="77777777" w:rsidR="00030FE0" w:rsidRPr="0084450B" w:rsidRDefault="00030FE0" w:rsidP="00F57CCA">
      <w:pPr>
        <w:rPr>
          <w:lang w:val="en-AU"/>
        </w:rPr>
      </w:pPr>
    </w:p>
    <w:tbl>
      <w:tblPr>
        <w:tblStyle w:val="TableGrid"/>
        <w:tblW w:w="15593" w:type="dxa"/>
        <w:tblInd w:w="-714" w:type="dxa"/>
        <w:tblLook w:val="04A0" w:firstRow="1" w:lastRow="0" w:firstColumn="1" w:lastColumn="0" w:noHBand="0" w:noVBand="1"/>
      </w:tblPr>
      <w:tblGrid>
        <w:gridCol w:w="2836"/>
        <w:gridCol w:w="4677"/>
        <w:gridCol w:w="4395"/>
        <w:gridCol w:w="3685"/>
      </w:tblGrid>
      <w:tr w:rsidR="00030FE0" w:rsidRPr="0084450B" w14:paraId="30678D97" w14:textId="77777777" w:rsidTr="00313D79">
        <w:tc>
          <w:tcPr>
            <w:tcW w:w="2836" w:type="dxa"/>
            <w:shd w:val="clear" w:color="auto" w:fill="114969" w:themeFill="text1"/>
          </w:tcPr>
          <w:p w14:paraId="501AD335" w14:textId="77777777" w:rsidR="00030FE0" w:rsidRPr="0084450B" w:rsidRDefault="00030FE0" w:rsidP="00313D79">
            <w:pPr>
              <w:rPr>
                <w:rFonts w:ascii="Franklin Gothic Book" w:hAnsi="Franklin Gothic Book"/>
                <w:lang w:val="en-AU"/>
              </w:rPr>
            </w:pPr>
          </w:p>
        </w:tc>
        <w:tc>
          <w:tcPr>
            <w:tcW w:w="4677" w:type="dxa"/>
            <w:shd w:val="clear" w:color="auto" w:fill="D9D9D9" w:themeFill="background1" w:themeFillShade="D9"/>
          </w:tcPr>
          <w:p w14:paraId="30257AC9" w14:textId="77777777" w:rsidR="00030FE0" w:rsidRPr="0084450B" w:rsidRDefault="00030FE0" w:rsidP="00313D79">
            <w:pPr>
              <w:rPr>
                <w:rFonts w:ascii="Franklin Gothic Book" w:hAnsi="Franklin Gothic Book"/>
                <w:b/>
                <w:lang w:val="en-AU"/>
              </w:rPr>
            </w:pPr>
            <w:r w:rsidRPr="0084450B">
              <w:rPr>
                <w:rFonts w:ascii="Franklin Gothic Book" w:hAnsi="Franklin Gothic Book"/>
                <w:b/>
                <w:lang w:val="en-AU"/>
              </w:rPr>
              <w:t xml:space="preserve">DETAIL &amp; PURPOSE </w:t>
            </w:r>
          </w:p>
        </w:tc>
        <w:tc>
          <w:tcPr>
            <w:tcW w:w="4395" w:type="dxa"/>
            <w:shd w:val="clear" w:color="auto" w:fill="D9D9D9" w:themeFill="background1" w:themeFillShade="D9"/>
          </w:tcPr>
          <w:p w14:paraId="28E44564" w14:textId="77777777" w:rsidR="00030FE0" w:rsidRPr="0084450B" w:rsidRDefault="00030FE0" w:rsidP="00313D79">
            <w:pPr>
              <w:rPr>
                <w:rFonts w:ascii="Franklin Gothic Book" w:hAnsi="Franklin Gothic Book"/>
                <w:b/>
                <w:lang w:val="en-AU"/>
              </w:rPr>
            </w:pPr>
            <w:r w:rsidRPr="0084450B">
              <w:rPr>
                <w:rFonts w:ascii="Franklin Gothic Book" w:hAnsi="Franklin Gothic Book"/>
                <w:b/>
                <w:lang w:val="en-AU"/>
              </w:rPr>
              <w:t>LINKS TO THE PARKVILLE COLLEGE MODEL</w:t>
            </w:r>
          </w:p>
        </w:tc>
        <w:tc>
          <w:tcPr>
            <w:tcW w:w="3685" w:type="dxa"/>
            <w:shd w:val="clear" w:color="auto" w:fill="D9D9D9" w:themeFill="background1" w:themeFillShade="D9"/>
          </w:tcPr>
          <w:p w14:paraId="5846D509" w14:textId="77777777" w:rsidR="00030FE0" w:rsidRPr="0084450B" w:rsidRDefault="00030FE0" w:rsidP="00313D79">
            <w:pPr>
              <w:rPr>
                <w:rFonts w:ascii="Franklin Gothic Book" w:hAnsi="Franklin Gothic Book"/>
                <w:b/>
                <w:lang w:val="en-AU"/>
              </w:rPr>
            </w:pPr>
            <w:r w:rsidRPr="0084450B">
              <w:rPr>
                <w:rFonts w:ascii="Franklin Gothic Book" w:hAnsi="Franklin Gothic Book"/>
                <w:b/>
                <w:lang w:val="en-AU"/>
              </w:rPr>
              <w:t>STAFF RESPONSIBLE</w:t>
            </w:r>
          </w:p>
        </w:tc>
      </w:tr>
      <w:tr w:rsidR="00030FE0" w:rsidRPr="0084450B" w14:paraId="399578F2" w14:textId="77777777" w:rsidTr="00313D79">
        <w:tc>
          <w:tcPr>
            <w:tcW w:w="2836" w:type="dxa"/>
            <w:shd w:val="clear" w:color="auto" w:fill="D9D9D9" w:themeFill="background1" w:themeFillShade="D9"/>
          </w:tcPr>
          <w:p w14:paraId="0FAFB319" w14:textId="77777777" w:rsidR="00030FE0" w:rsidRPr="0084450B" w:rsidRDefault="00030FE0" w:rsidP="00313D79">
            <w:pPr>
              <w:rPr>
                <w:rFonts w:ascii="Franklin Gothic Book" w:hAnsi="Franklin Gothic Book"/>
                <w:b/>
                <w:lang w:val="en-AU"/>
              </w:rPr>
            </w:pPr>
            <w:r w:rsidRPr="0084450B">
              <w:rPr>
                <w:rFonts w:ascii="Franklin Gothic Book" w:hAnsi="Franklin Gothic Book"/>
                <w:b/>
                <w:lang w:val="en-AU"/>
              </w:rPr>
              <w:t>ENROLMENT</w:t>
            </w:r>
          </w:p>
        </w:tc>
        <w:tc>
          <w:tcPr>
            <w:tcW w:w="4677" w:type="dxa"/>
          </w:tcPr>
          <w:p w14:paraId="6276865E" w14:textId="075C7C5A" w:rsidR="00030FE0" w:rsidRPr="0084450B" w:rsidRDefault="00030FE0" w:rsidP="00030FE0">
            <w:pPr>
              <w:rPr>
                <w:rFonts w:ascii="Franklin Gothic Book" w:hAnsi="Franklin Gothic Book"/>
                <w:lang w:val="en-AU"/>
              </w:rPr>
            </w:pPr>
            <w:r w:rsidRPr="0084450B">
              <w:rPr>
                <w:rFonts w:ascii="Franklin Gothic Book" w:hAnsi="Franklin Gothic Book"/>
                <w:lang w:val="en-AU"/>
              </w:rPr>
              <w:t>Enrolment is completed during a one-on-one conversation with a teacher before the student attends school programs. In addition to learning about students, the enrolment conversation is an opportunity to introduce our school, explain our daily/weekly program, begin setting explicit expectations, discuss teacher-student contracts, and make space for students to ask questions. Data from enrolment conversations and transitions conversations form the basis of the student’s Short Transition Plan and inform plans for teaching and learning.</w:t>
            </w:r>
          </w:p>
        </w:tc>
        <w:tc>
          <w:tcPr>
            <w:tcW w:w="4395" w:type="dxa"/>
          </w:tcPr>
          <w:p w14:paraId="780DBE81" w14:textId="77777777" w:rsidR="00030FE0" w:rsidRPr="0084450B" w:rsidRDefault="00030FE0" w:rsidP="00313D79">
            <w:pPr>
              <w:rPr>
                <w:rFonts w:ascii="Franklin Gothic Book" w:hAnsi="Franklin Gothic Book"/>
                <w:b/>
                <w:lang w:val="en-AU"/>
              </w:rPr>
            </w:pPr>
            <w:r w:rsidRPr="0084450B">
              <w:rPr>
                <w:rFonts w:ascii="Franklin Gothic Book" w:hAnsi="Franklin Gothic Book"/>
                <w:b/>
                <w:lang w:val="en-AU"/>
              </w:rPr>
              <w:t>Strong, secure relationships and safe spaces</w:t>
            </w:r>
          </w:p>
          <w:p w14:paraId="42524C74" w14:textId="77777777" w:rsidR="00030FE0" w:rsidRPr="0084450B" w:rsidRDefault="00030FE0" w:rsidP="00030FE0">
            <w:pPr>
              <w:pStyle w:val="ListParagraph"/>
              <w:numPr>
                <w:ilvl w:val="0"/>
                <w:numId w:val="18"/>
              </w:numPr>
              <w:rPr>
                <w:rFonts w:ascii="Franklin Gothic Book" w:hAnsi="Franklin Gothic Book"/>
                <w:lang w:val="en-AU"/>
              </w:rPr>
            </w:pPr>
            <w:r w:rsidRPr="0084450B">
              <w:rPr>
                <w:rFonts w:ascii="Franklin Gothic Book" w:hAnsi="Franklin Gothic Book"/>
                <w:lang w:val="en-AU"/>
              </w:rPr>
              <w:t>Reliable, consistent attachments</w:t>
            </w:r>
          </w:p>
          <w:p w14:paraId="6A4BE610" w14:textId="77777777" w:rsidR="00030FE0" w:rsidRPr="0084450B" w:rsidRDefault="00030FE0" w:rsidP="00030FE0">
            <w:pPr>
              <w:pStyle w:val="ListParagraph"/>
              <w:numPr>
                <w:ilvl w:val="0"/>
                <w:numId w:val="18"/>
              </w:numPr>
              <w:rPr>
                <w:rFonts w:ascii="Franklin Gothic Book" w:hAnsi="Franklin Gothic Book"/>
                <w:lang w:val="en-AU"/>
              </w:rPr>
            </w:pPr>
            <w:r w:rsidRPr="0084450B">
              <w:rPr>
                <w:rFonts w:ascii="Franklin Gothic Book" w:hAnsi="Franklin Gothic Book"/>
                <w:lang w:val="en-AU"/>
              </w:rPr>
              <w:t>Safe learning spaces</w:t>
            </w:r>
          </w:p>
          <w:p w14:paraId="7CC5F18A" w14:textId="77777777" w:rsidR="00030FE0" w:rsidRPr="0084450B" w:rsidRDefault="00030FE0" w:rsidP="00030FE0">
            <w:pPr>
              <w:pStyle w:val="ListParagraph"/>
              <w:numPr>
                <w:ilvl w:val="0"/>
                <w:numId w:val="18"/>
              </w:numPr>
              <w:rPr>
                <w:rFonts w:ascii="Franklin Gothic Book" w:hAnsi="Franklin Gothic Book"/>
                <w:lang w:val="en-AU"/>
              </w:rPr>
            </w:pPr>
            <w:r w:rsidRPr="0084450B">
              <w:rPr>
                <w:rFonts w:ascii="Franklin Gothic Book" w:hAnsi="Franklin Gothic Book"/>
                <w:lang w:val="en-AU"/>
              </w:rPr>
              <w:t>High Impact Engagement Strategies</w:t>
            </w:r>
          </w:p>
          <w:p w14:paraId="50D03364" w14:textId="77777777" w:rsidR="00030FE0" w:rsidRPr="0084450B" w:rsidRDefault="00030FE0" w:rsidP="00313D79">
            <w:pPr>
              <w:rPr>
                <w:rFonts w:ascii="Franklin Gothic Book" w:hAnsi="Franklin Gothic Book"/>
                <w:b/>
                <w:lang w:val="en-AU"/>
              </w:rPr>
            </w:pPr>
            <w:r w:rsidRPr="0084450B">
              <w:rPr>
                <w:rFonts w:ascii="Franklin Gothic Book" w:hAnsi="Franklin Gothic Book"/>
                <w:b/>
                <w:lang w:val="en-AU"/>
              </w:rPr>
              <w:t>Connection to community and culture</w:t>
            </w:r>
          </w:p>
          <w:p w14:paraId="5E5071B2" w14:textId="77777777" w:rsidR="00030FE0" w:rsidRPr="0084450B" w:rsidRDefault="00030FE0" w:rsidP="00030FE0">
            <w:pPr>
              <w:pStyle w:val="ListParagraph"/>
              <w:numPr>
                <w:ilvl w:val="0"/>
                <w:numId w:val="23"/>
              </w:numPr>
              <w:rPr>
                <w:rFonts w:ascii="Franklin Gothic Book" w:hAnsi="Franklin Gothic Book"/>
                <w:b/>
                <w:lang w:val="en-AU"/>
              </w:rPr>
            </w:pPr>
            <w:r w:rsidRPr="0084450B">
              <w:rPr>
                <w:rFonts w:ascii="Franklin Gothic Book" w:hAnsi="Franklin Gothic Book"/>
                <w:lang w:val="en-AU"/>
              </w:rPr>
              <w:t>Family and community connection</w:t>
            </w:r>
          </w:p>
          <w:p w14:paraId="4F26A8DB" w14:textId="77777777" w:rsidR="00030FE0" w:rsidRPr="0084450B" w:rsidRDefault="00030FE0" w:rsidP="00030FE0">
            <w:pPr>
              <w:pStyle w:val="ListParagraph"/>
              <w:numPr>
                <w:ilvl w:val="0"/>
                <w:numId w:val="23"/>
              </w:numPr>
              <w:rPr>
                <w:rFonts w:ascii="Franklin Gothic Book" w:hAnsi="Franklin Gothic Book"/>
                <w:b/>
                <w:lang w:val="en-AU"/>
              </w:rPr>
            </w:pPr>
            <w:r w:rsidRPr="0084450B">
              <w:rPr>
                <w:rFonts w:ascii="Franklin Gothic Book" w:hAnsi="Franklin Gothic Book"/>
                <w:lang w:val="en-AU"/>
              </w:rPr>
              <w:t>Learning in the context of culture</w:t>
            </w:r>
          </w:p>
          <w:p w14:paraId="1928C8AE" w14:textId="77777777" w:rsidR="00030FE0" w:rsidRPr="0084450B" w:rsidRDefault="00030FE0" w:rsidP="00030FE0">
            <w:pPr>
              <w:pStyle w:val="ListParagraph"/>
              <w:numPr>
                <w:ilvl w:val="0"/>
                <w:numId w:val="23"/>
              </w:numPr>
              <w:rPr>
                <w:rFonts w:ascii="Franklin Gothic Book" w:hAnsi="Franklin Gothic Book"/>
                <w:b/>
                <w:lang w:val="en-AU"/>
              </w:rPr>
            </w:pPr>
            <w:r w:rsidRPr="0084450B">
              <w:rPr>
                <w:rFonts w:ascii="Franklin Gothic Book" w:hAnsi="Franklin Gothic Book"/>
                <w:lang w:val="en-AU"/>
              </w:rPr>
              <w:t>Student centred transitions</w:t>
            </w:r>
          </w:p>
          <w:p w14:paraId="4CA77CFF" w14:textId="77777777" w:rsidR="00030FE0" w:rsidRPr="0084450B" w:rsidRDefault="00030FE0" w:rsidP="00313D79">
            <w:pPr>
              <w:rPr>
                <w:rFonts w:ascii="Franklin Gothic Book" w:hAnsi="Franklin Gothic Book"/>
                <w:b/>
                <w:lang w:val="en-AU"/>
              </w:rPr>
            </w:pPr>
            <w:r w:rsidRPr="0084450B">
              <w:rPr>
                <w:rFonts w:ascii="Franklin Gothic Book" w:hAnsi="Franklin Gothic Book"/>
                <w:b/>
                <w:lang w:val="en-AU"/>
              </w:rPr>
              <w:t>Student empowerment and voice</w:t>
            </w:r>
          </w:p>
          <w:p w14:paraId="50732EE8" w14:textId="77777777" w:rsidR="00030FE0" w:rsidRPr="0084450B" w:rsidRDefault="00030FE0" w:rsidP="00030FE0">
            <w:pPr>
              <w:pStyle w:val="ListParagraph"/>
              <w:numPr>
                <w:ilvl w:val="0"/>
                <w:numId w:val="22"/>
              </w:numPr>
              <w:rPr>
                <w:rFonts w:ascii="Franklin Gothic Book" w:hAnsi="Franklin Gothic Book"/>
                <w:b/>
                <w:lang w:val="en-AU"/>
              </w:rPr>
            </w:pPr>
            <w:r w:rsidRPr="0084450B">
              <w:rPr>
                <w:rFonts w:ascii="Franklin Gothic Book" w:hAnsi="Franklin Gothic Book"/>
                <w:lang w:val="en-AU"/>
              </w:rPr>
              <w:t>Explore student identity</w:t>
            </w:r>
          </w:p>
          <w:p w14:paraId="6DDB662D" w14:textId="77777777" w:rsidR="00030FE0" w:rsidRPr="0084450B" w:rsidRDefault="00030FE0" w:rsidP="00030FE0">
            <w:pPr>
              <w:pStyle w:val="ListParagraph"/>
              <w:numPr>
                <w:ilvl w:val="0"/>
                <w:numId w:val="22"/>
              </w:numPr>
              <w:rPr>
                <w:rFonts w:ascii="Franklin Gothic Book" w:hAnsi="Franklin Gothic Book"/>
                <w:b/>
                <w:lang w:val="en-AU"/>
              </w:rPr>
            </w:pPr>
            <w:r w:rsidRPr="0084450B">
              <w:rPr>
                <w:rFonts w:ascii="Franklin Gothic Book" w:hAnsi="Franklin Gothic Book"/>
                <w:lang w:val="en-AU"/>
              </w:rPr>
              <w:t>Student driven learning</w:t>
            </w:r>
          </w:p>
          <w:p w14:paraId="14EBBBC5" w14:textId="77777777" w:rsidR="00030FE0" w:rsidRPr="0084450B" w:rsidRDefault="00030FE0" w:rsidP="00030FE0">
            <w:pPr>
              <w:pStyle w:val="ListParagraph"/>
              <w:numPr>
                <w:ilvl w:val="0"/>
                <w:numId w:val="22"/>
              </w:numPr>
              <w:rPr>
                <w:rFonts w:ascii="Franklin Gothic Book" w:hAnsi="Franklin Gothic Book"/>
                <w:b/>
                <w:lang w:val="en-AU"/>
              </w:rPr>
            </w:pPr>
            <w:r w:rsidRPr="0084450B">
              <w:rPr>
                <w:rFonts w:ascii="Franklin Gothic Book" w:hAnsi="Franklin Gothic Book"/>
                <w:lang w:val="en-AU"/>
              </w:rPr>
              <w:t>Maximise choice</w:t>
            </w:r>
          </w:p>
        </w:tc>
        <w:tc>
          <w:tcPr>
            <w:tcW w:w="3685" w:type="dxa"/>
          </w:tcPr>
          <w:p w14:paraId="328F2BF1" w14:textId="77777777" w:rsidR="00030FE0" w:rsidRPr="0084450B" w:rsidRDefault="00030FE0" w:rsidP="00313D79">
            <w:pPr>
              <w:rPr>
                <w:rFonts w:ascii="Franklin Gothic Book" w:hAnsi="Franklin Gothic Book"/>
                <w:lang w:val="en-AU"/>
              </w:rPr>
            </w:pPr>
            <w:r w:rsidRPr="0084450B">
              <w:rPr>
                <w:rFonts w:ascii="Franklin Gothic Book" w:hAnsi="Franklin Gothic Book"/>
                <w:lang w:val="en-AU"/>
              </w:rPr>
              <w:t>The Team Leader will add new admissions to Compass and assign Roll Flag to indicate Brief Student Plan is Required. A member of the Admissions team (transitions advocate or teacher) will conduct enrolments and record information on Compass, contributing to the Brief Transition Plan. The transitions advocate will attend Care Team Meetings. The Team Leader will support team members to conduct enrolments as required during periods of high student numbers.</w:t>
            </w:r>
          </w:p>
        </w:tc>
      </w:tr>
      <w:tr w:rsidR="00030FE0" w:rsidRPr="0084450B" w14:paraId="16533CAC" w14:textId="77777777" w:rsidTr="00313D79">
        <w:tc>
          <w:tcPr>
            <w:tcW w:w="2836" w:type="dxa"/>
            <w:shd w:val="clear" w:color="auto" w:fill="D9D9D9" w:themeFill="background1" w:themeFillShade="D9"/>
          </w:tcPr>
          <w:p w14:paraId="364D9ED3" w14:textId="77777777" w:rsidR="00030FE0" w:rsidRPr="0084450B" w:rsidRDefault="00030FE0" w:rsidP="00313D79">
            <w:pPr>
              <w:rPr>
                <w:rFonts w:ascii="Franklin Gothic Book" w:hAnsi="Franklin Gothic Book"/>
                <w:b/>
                <w:lang w:val="en-AU"/>
              </w:rPr>
            </w:pPr>
            <w:r w:rsidRPr="0084450B">
              <w:rPr>
                <w:rFonts w:ascii="Franklin Gothic Book" w:hAnsi="Franklin Gothic Book"/>
                <w:b/>
                <w:lang w:val="en-AU"/>
              </w:rPr>
              <w:t>ASSESSMENT</w:t>
            </w:r>
          </w:p>
        </w:tc>
        <w:tc>
          <w:tcPr>
            <w:tcW w:w="4677" w:type="dxa"/>
          </w:tcPr>
          <w:p w14:paraId="5AD2E65C" w14:textId="77777777" w:rsidR="00030FE0" w:rsidRPr="0084450B" w:rsidRDefault="00030FE0" w:rsidP="00313D79">
            <w:pPr>
              <w:rPr>
                <w:rFonts w:ascii="Franklin Gothic Book" w:hAnsi="Franklin Gothic Book"/>
                <w:lang w:val="en-AU"/>
              </w:rPr>
            </w:pPr>
            <w:r w:rsidRPr="0084450B">
              <w:rPr>
                <w:rFonts w:ascii="Franklin Gothic Book" w:hAnsi="Franklin Gothic Book"/>
                <w:lang w:val="en-AU"/>
              </w:rPr>
              <w:t xml:space="preserve">Students are expected to complete Literacy (YARC, TWS) and Numeracy (WIAT) assessments during their time in Admissions if they stay for more than one week. Data from assessment tasks informs planning for teaching and learning and transitions. Feedback from assessment tasks provides students with an opportunity to discuss and prioritise their learning goals with teachers. </w:t>
            </w:r>
          </w:p>
        </w:tc>
        <w:tc>
          <w:tcPr>
            <w:tcW w:w="4395" w:type="dxa"/>
          </w:tcPr>
          <w:p w14:paraId="67DC2BDD" w14:textId="77777777" w:rsidR="00030FE0" w:rsidRPr="0084450B" w:rsidRDefault="00030FE0" w:rsidP="00313D79">
            <w:pPr>
              <w:rPr>
                <w:rFonts w:ascii="Franklin Gothic Book" w:hAnsi="Franklin Gothic Book"/>
                <w:b/>
                <w:lang w:val="en-AU"/>
              </w:rPr>
            </w:pPr>
            <w:r w:rsidRPr="0084450B">
              <w:rPr>
                <w:rFonts w:ascii="Franklin Gothic Book" w:hAnsi="Franklin Gothic Book"/>
                <w:b/>
                <w:lang w:val="en-AU"/>
              </w:rPr>
              <w:t>Evidence based teaching and learning</w:t>
            </w:r>
          </w:p>
          <w:p w14:paraId="048BB254" w14:textId="77777777" w:rsidR="00030FE0" w:rsidRPr="0084450B" w:rsidRDefault="00030FE0" w:rsidP="00030FE0">
            <w:pPr>
              <w:pStyle w:val="ListParagraph"/>
              <w:numPr>
                <w:ilvl w:val="0"/>
                <w:numId w:val="20"/>
              </w:numPr>
              <w:rPr>
                <w:rFonts w:ascii="Franklin Gothic Book" w:hAnsi="Franklin Gothic Book"/>
                <w:lang w:val="en-AU"/>
              </w:rPr>
            </w:pPr>
            <w:r w:rsidRPr="0084450B">
              <w:rPr>
                <w:rFonts w:ascii="Franklin Gothic Book" w:hAnsi="Franklin Gothic Book"/>
                <w:lang w:val="en-AU"/>
              </w:rPr>
              <w:t>Assessment for/of/as learning</w:t>
            </w:r>
          </w:p>
          <w:p w14:paraId="7E44E959" w14:textId="77777777" w:rsidR="00030FE0" w:rsidRPr="0084450B" w:rsidRDefault="00030FE0" w:rsidP="00313D79">
            <w:pPr>
              <w:rPr>
                <w:rFonts w:ascii="Franklin Gothic Book" w:hAnsi="Franklin Gothic Book"/>
                <w:b/>
                <w:lang w:val="en-AU"/>
              </w:rPr>
            </w:pPr>
            <w:r w:rsidRPr="0084450B">
              <w:rPr>
                <w:rFonts w:ascii="Franklin Gothic Book" w:hAnsi="Franklin Gothic Book"/>
                <w:b/>
                <w:lang w:val="en-AU"/>
              </w:rPr>
              <w:t>Student empowerment and voice</w:t>
            </w:r>
          </w:p>
          <w:p w14:paraId="34B8FB50" w14:textId="77777777" w:rsidR="00030FE0" w:rsidRPr="0084450B" w:rsidRDefault="00030FE0" w:rsidP="00030FE0">
            <w:pPr>
              <w:pStyle w:val="ListParagraph"/>
              <w:numPr>
                <w:ilvl w:val="0"/>
                <w:numId w:val="20"/>
              </w:numPr>
              <w:rPr>
                <w:rFonts w:ascii="Franklin Gothic Book" w:hAnsi="Franklin Gothic Book"/>
                <w:b/>
                <w:lang w:val="en-AU"/>
              </w:rPr>
            </w:pPr>
            <w:r w:rsidRPr="0084450B">
              <w:rPr>
                <w:rFonts w:ascii="Franklin Gothic Book" w:hAnsi="Franklin Gothic Book"/>
                <w:lang w:val="en-AU"/>
              </w:rPr>
              <w:t>Student driven learning</w:t>
            </w:r>
          </w:p>
          <w:p w14:paraId="378DE8D5" w14:textId="77777777" w:rsidR="00030FE0" w:rsidRPr="0084450B" w:rsidRDefault="00030FE0" w:rsidP="00030FE0">
            <w:pPr>
              <w:pStyle w:val="ListParagraph"/>
              <w:numPr>
                <w:ilvl w:val="0"/>
                <w:numId w:val="20"/>
              </w:numPr>
              <w:rPr>
                <w:rFonts w:ascii="Franklin Gothic Book" w:hAnsi="Franklin Gothic Book"/>
                <w:b/>
                <w:lang w:val="en-AU"/>
              </w:rPr>
            </w:pPr>
            <w:r w:rsidRPr="0084450B">
              <w:rPr>
                <w:rFonts w:ascii="Franklin Gothic Book" w:hAnsi="Franklin Gothic Book"/>
                <w:lang w:val="en-AU"/>
              </w:rPr>
              <w:t>Maximise choice</w:t>
            </w:r>
          </w:p>
        </w:tc>
        <w:tc>
          <w:tcPr>
            <w:tcW w:w="3685" w:type="dxa"/>
          </w:tcPr>
          <w:p w14:paraId="5A29F2C4" w14:textId="2DD50992" w:rsidR="00030FE0" w:rsidRPr="0084450B" w:rsidRDefault="00030FE0" w:rsidP="00030FE0">
            <w:pPr>
              <w:rPr>
                <w:rFonts w:ascii="Franklin Gothic Book" w:hAnsi="Franklin Gothic Book"/>
                <w:lang w:val="en-AU"/>
              </w:rPr>
            </w:pPr>
            <w:r w:rsidRPr="0084450B">
              <w:rPr>
                <w:rFonts w:ascii="Franklin Gothic Book" w:hAnsi="Franklin Gothic Book"/>
                <w:lang w:val="en-AU"/>
              </w:rPr>
              <w:t>The Classroom Teacher will conduct Literacy and Numeracy assessments with each student and record results on Compass. Assessments are generally completed outside the Classroom Teacher’s allocated class times, at a time negotiated with the student, other teachers, and DJCS staff. Lead Teachers will support Classroom Teachers when student numbers are high.</w:t>
            </w:r>
          </w:p>
        </w:tc>
      </w:tr>
    </w:tbl>
    <w:p w14:paraId="7D8CC2B9" w14:textId="64370669" w:rsidR="007E7255" w:rsidRPr="0084450B" w:rsidRDefault="007E7255" w:rsidP="00C17731">
      <w:pPr>
        <w:pStyle w:val="Heading3"/>
        <w:rPr>
          <w:lang w:val="en-AU"/>
        </w:rPr>
      </w:pPr>
      <w:bookmarkStart w:id="12" w:name="_Toc97294803"/>
      <w:r w:rsidRPr="0084450B">
        <w:rPr>
          <w:lang w:val="en-AU"/>
        </w:rPr>
        <w:t>Malmsbury Campus</w:t>
      </w:r>
      <w:bookmarkEnd w:id="12"/>
    </w:p>
    <w:tbl>
      <w:tblPr>
        <w:tblStyle w:val="TableGrid"/>
        <w:tblW w:w="15593" w:type="dxa"/>
        <w:tblInd w:w="-714" w:type="dxa"/>
        <w:tblLook w:val="04A0" w:firstRow="1" w:lastRow="0" w:firstColumn="1" w:lastColumn="0" w:noHBand="0" w:noVBand="1"/>
      </w:tblPr>
      <w:tblGrid>
        <w:gridCol w:w="2836"/>
        <w:gridCol w:w="4677"/>
        <w:gridCol w:w="4395"/>
        <w:gridCol w:w="3685"/>
      </w:tblGrid>
      <w:tr w:rsidR="007E7255" w:rsidRPr="0084450B" w14:paraId="6354089E" w14:textId="77777777" w:rsidTr="00D243AB">
        <w:tc>
          <w:tcPr>
            <w:tcW w:w="2836" w:type="dxa"/>
            <w:shd w:val="clear" w:color="auto" w:fill="114969" w:themeFill="text1"/>
          </w:tcPr>
          <w:p w14:paraId="16FE9C07" w14:textId="77777777" w:rsidR="007E7255" w:rsidRPr="0084450B" w:rsidRDefault="007E7255" w:rsidP="00D243AB">
            <w:pPr>
              <w:rPr>
                <w:rFonts w:ascii="Franklin Gothic Book" w:hAnsi="Franklin Gothic Book"/>
                <w:lang w:val="en-AU"/>
              </w:rPr>
            </w:pPr>
          </w:p>
        </w:tc>
        <w:tc>
          <w:tcPr>
            <w:tcW w:w="4677" w:type="dxa"/>
            <w:shd w:val="clear" w:color="auto" w:fill="D9D9D9" w:themeFill="background1" w:themeFillShade="D9"/>
          </w:tcPr>
          <w:p w14:paraId="40B46F51"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 xml:space="preserve">DETAIL &amp; PURPOSE </w:t>
            </w:r>
          </w:p>
        </w:tc>
        <w:tc>
          <w:tcPr>
            <w:tcW w:w="4395" w:type="dxa"/>
            <w:shd w:val="clear" w:color="auto" w:fill="D9D9D9" w:themeFill="background1" w:themeFillShade="D9"/>
          </w:tcPr>
          <w:p w14:paraId="651F47CC"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LINKS TO THE PARKVILLE COLLEGE MODEL</w:t>
            </w:r>
          </w:p>
        </w:tc>
        <w:tc>
          <w:tcPr>
            <w:tcW w:w="3685" w:type="dxa"/>
            <w:shd w:val="clear" w:color="auto" w:fill="D9D9D9" w:themeFill="background1" w:themeFillShade="D9"/>
          </w:tcPr>
          <w:p w14:paraId="7C1240FC"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STAFF RESPONSIBLE</w:t>
            </w:r>
          </w:p>
        </w:tc>
      </w:tr>
      <w:tr w:rsidR="007E7255" w:rsidRPr="0084450B" w14:paraId="681AC800" w14:textId="77777777" w:rsidTr="00D243AB">
        <w:tc>
          <w:tcPr>
            <w:tcW w:w="2836" w:type="dxa"/>
            <w:shd w:val="clear" w:color="auto" w:fill="D9D9D9" w:themeFill="background1" w:themeFillShade="D9"/>
          </w:tcPr>
          <w:p w14:paraId="29DB8604"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ENROLMENT</w:t>
            </w:r>
          </w:p>
        </w:tc>
        <w:tc>
          <w:tcPr>
            <w:tcW w:w="4677" w:type="dxa"/>
          </w:tcPr>
          <w:p w14:paraId="65B12184" w14:textId="050A4940" w:rsidR="007E7255" w:rsidRPr="0084450B" w:rsidRDefault="007E7255" w:rsidP="006B67DA">
            <w:pPr>
              <w:rPr>
                <w:rFonts w:ascii="Franklin Gothic Book" w:hAnsi="Franklin Gothic Book"/>
                <w:lang w:val="en-AU"/>
              </w:rPr>
            </w:pPr>
            <w:r w:rsidRPr="0084450B">
              <w:rPr>
                <w:rFonts w:ascii="Franklin Gothic Book" w:hAnsi="Franklin Gothic Book"/>
                <w:lang w:val="en-AU"/>
              </w:rPr>
              <w:t>Enrolment is completed during a one-on-one conversation with a teacher before the student attends school programs. In addition to learning about students, the enrolment conversation is an opportunity to introduce our school, explain our daily/weekly program, begin setting explicit expectations, discuss teacher-student contracts, and make space for students to ask questions. Data from enrolment conversations and transitions conversations form the basis of the student’s plans for teaching and learning</w:t>
            </w:r>
            <w:r w:rsidR="005C4004" w:rsidRPr="0084450B">
              <w:rPr>
                <w:rFonts w:ascii="Franklin Gothic Book" w:hAnsi="Franklin Gothic Book"/>
                <w:lang w:val="en-AU"/>
              </w:rPr>
              <w:t xml:space="preserve"> and student individual education plan (IEP)</w:t>
            </w:r>
            <w:r w:rsidRPr="0084450B">
              <w:rPr>
                <w:rFonts w:ascii="Franklin Gothic Book" w:hAnsi="Franklin Gothic Book"/>
                <w:lang w:val="en-AU"/>
              </w:rPr>
              <w:t>.</w:t>
            </w:r>
          </w:p>
        </w:tc>
        <w:tc>
          <w:tcPr>
            <w:tcW w:w="4395" w:type="dxa"/>
          </w:tcPr>
          <w:p w14:paraId="575FAB87"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Strong, secure relationships and safe spaces</w:t>
            </w:r>
          </w:p>
          <w:p w14:paraId="0C444D70" w14:textId="77777777" w:rsidR="007E7255" w:rsidRPr="0084450B" w:rsidRDefault="007E7255" w:rsidP="00D243AB">
            <w:pPr>
              <w:pStyle w:val="ListParagraph"/>
              <w:numPr>
                <w:ilvl w:val="0"/>
                <w:numId w:val="18"/>
              </w:numPr>
              <w:rPr>
                <w:rFonts w:ascii="Franklin Gothic Book" w:hAnsi="Franklin Gothic Book"/>
                <w:lang w:val="en-AU"/>
              </w:rPr>
            </w:pPr>
            <w:r w:rsidRPr="0084450B">
              <w:rPr>
                <w:rFonts w:ascii="Franklin Gothic Book" w:hAnsi="Franklin Gothic Book"/>
                <w:lang w:val="en-AU"/>
              </w:rPr>
              <w:t>Reliable, consistent attachments</w:t>
            </w:r>
          </w:p>
          <w:p w14:paraId="335B6AAD" w14:textId="77777777" w:rsidR="007E7255" w:rsidRPr="0084450B" w:rsidRDefault="007E7255" w:rsidP="00D243AB">
            <w:pPr>
              <w:pStyle w:val="ListParagraph"/>
              <w:numPr>
                <w:ilvl w:val="0"/>
                <w:numId w:val="18"/>
              </w:numPr>
              <w:rPr>
                <w:rFonts w:ascii="Franklin Gothic Book" w:hAnsi="Franklin Gothic Book"/>
                <w:lang w:val="en-AU"/>
              </w:rPr>
            </w:pPr>
            <w:r w:rsidRPr="0084450B">
              <w:rPr>
                <w:rFonts w:ascii="Franklin Gothic Book" w:hAnsi="Franklin Gothic Book"/>
                <w:lang w:val="en-AU"/>
              </w:rPr>
              <w:t>Safe learning spaces</w:t>
            </w:r>
          </w:p>
          <w:p w14:paraId="55183009" w14:textId="77777777" w:rsidR="007E7255" w:rsidRPr="0084450B" w:rsidRDefault="007E7255" w:rsidP="00D243AB">
            <w:pPr>
              <w:pStyle w:val="ListParagraph"/>
              <w:numPr>
                <w:ilvl w:val="0"/>
                <w:numId w:val="18"/>
              </w:numPr>
              <w:rPr>
                <w:rFonts w:ascii="Franklin Gothic Book" w:hAnsi="Franklin Gothic Book"/>
                <w:lang w:val="en-AU"/>
              </w:rPr>
            </w:pPr>
            <w:r w:rsidRPr="0084450B">
              <w:rPr>
                <w:rFonts w:ascii="Franklin Gothic Book" w:hAnsi="Franklin Gothic Book"/>
                <w:lang w:val="en-AU"/>
              </w:rPr>
              <w:t>High Impact Engagement Strategies</w:t>
            </w:r>
          </w:p>
          <w:p w14:paraId="1BF7A429"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Connection to community and culture</w:t>
            </w:r>
          </w:p>
          <w:p w14:paraId="06617909" w14:textId="77777777" w:rsidR="007E7255" w:rsidRPr="0084450B" w:rsidRDefault="007E7255" w:rsidP="00D243AB">
            <w:pPr>
              <w:pStyle w:val="ListParagraph"/>
              <w:numPr>
                <w:ilvl w:val="0"/>
                <w:numId w:val="23"/>
              </w:numPr>
              <w:rPr>
                <w:rFonts w:ascii="Franklin Gothic Book" w:hAnsi="Franklin Gothic Book"/>
                <w:b/>
                <w:lang w:val="en-AU"/>
              </w:rPr>
            </w:pPr>
            <w:r w:rsidRPr="0084450B">
              <w:rPr>
                <w:rFonts w:ascii="Franklin Gothic Book" w:hAnsi="Franklin Gothic Book"/>
                <w:lang w:val="en-AU"/>
              </w:rPr>
              <w:t>Family and community connection</w:t>
            </w:r>
          </w:p>
          <w:p w14:paraId="646D1453" w14:textId="77777777" w:rsidR="007E7255" w:rsidRPr="0084450B" w:rsidRDefault="007E7255" w:rsidP="00D243AB">
            <w:pPr>
              <w:pStyle w:val="ListParagraph"/>
              <w:numPr>
                <w:ilvl w:val="0"/>
                <w:numId w:val="23"/>
              </w:numPr>
              <w:rPr>
                <w:rFonts w:ascii="Franklin Gothic Book" w:hAnsi="Franklin Gothic Book"/>
                <w:b/>
                <w:lang w:val="en-AU"/>
              </w:rPr>
            </w:pPr>
            <w:r w:rsidRPr="0084450B">
              <w:rPr>
                <w:rFonts w:ascii="Franklin Gothic Book" w:hAnsi="Franklin Gothic Book"/>
                <w:lang w:val="en-AU"/>
              </w:rPr>
              <w:t>Learning in the context of culture</w:t>
            </w:r>
          </w:p>
          <w:p w14:paraId="47B1ADFC" w14:textId="77777777" w:rsidR="007E7255" w:rsidRPr="0084450B" w:rsidRDefault="007E7255" w:rsidP="00D243AB">
            <w:pPr>
              <w:pStyle w:val="ListParagraph"/>
              <w:numPr>
                <w:ilvl w:val="0"/>
                <w:numId w:val="23"/>
              </w:numPr>
              <w:rPr>
                <w:rFonts w:ascii="Franklin Gothic Book" w:hAnsi="Franklin Gothic Book"/>
                <w:b/>
                <w:lang w:val="en-AU"/>
              </w:rPr>
            </w:pPr>
            <w:r w:rsidRPr="0084450B">
              <w:rPr>
                <w:rFonts w:ascii="Franklin Gothic Book" w:hAnsi="Franklin Gothic Book"/>
                <w:lang w:val="en-AU"/>
              </w:rPr>
              <w:t>Student centred transitions</w:t>
            </w:r>
          </w:p>
          <w:p w14:paraId="066C83BA"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Student empowerment and voice</w:t>
            </w:r>
          </w:p>
          <w:p w14:paraId="0C062E9F" w14:textId="77777777" w:rsidR="007E7255" w:rsidRPr="0084450B" w:rsidRDefault="007E7255" w:rsidP="00D243AB">
            <w:pPr>
              <w:pStyle w:val="ListParagraph"/>
              <w:numPr>
                <w:ilvl w:val="0"/>
                <w:numId w:val="22"/>
              </w:numPr>
              <w:rPr>
                <w:rFonts w:ascii="Franklin Gothic Book" w:hAnsi="Franklin Gothic Book"/>
                <w:b/>
                <w:lang w:val="en-AU"/>
              </w:rPr>
            </w:pPr>
            <w:r w:rsidRPr="0084450B">
              <w:rPr>
                <w:rFonts w:ascii="Franklin Gothic Book" w:hAnsi="Franklin Gothic Book"/>
                <w:lang w:val="en-AU"/>
              </w:rPr>
              <w:t>Explore student identity</w:t>
            </w:r>
          </w:p>
          <w:p w14:paraId="64373824" w14:textId="77777777" w:rsidR="007E7255" w:rsidRPr="0084450B" w:rsidRDefault="007E7255" w:rsidP="00D243AB">
            <w:pPr>
              <w:pStyle w:val="ListParagraph"/>
              <w:numPr>
                <w:ilvl w:val="0"/>
                <w:numId w:val="22"/>
              </w:numPr>
              <w:rPr>
                <w:rFonts w:ascii="Franklin Gothic Book" w:hAnsi="Franklin Gothic Book"/>
                <w:b/>
                <w:lang w:val="en-AU"/>
              </w:rPr>
            </w:pPr>
            <w:r w:rsidRPr="0084450B">
              <w:rPr>
                <w:rFonts w:ascii="Franklin Gothic Book" w:hAnsi="Franklin Gothic Book"/>
                <w:lang w:val="en-AU"/>
              </w:rPr>
              <w:t>Student driven learning</w:t>
            </w:r>
          </w:p>
          <w:p w14:paraId="3571A7A1" w14:textId="77777777" w:rsidR="007E7255" w:rsidRPr="0084450B" w:rsidRDefault="007E7255" w:rsidP="00D243AB">
            <w:pPr>
              <w:pStyle w:val="ListParagraph"/>
              <w:numPr>
                <w:ilvl w:val="0"/>
                <w:numId w:val="22"/>
              </w:numPr>
              <w:rPr>
                <w:rFonts w:ascii="Franklin Gothic Book" w:hAnsi="Franklin Gothic Book"/>
                <w:b/>
                <w:lang w:val="en-AU"/>
              </w:rPr>
            </w:pPr>
            <w:r w:rsidRPr="0084450B">
              <w:rPr>
                <w:rFonts w:ascii="Franklin Gothic Book" w:hAnsi="Franklin Gothic Book"/>
                <w:lang w:val="en-AU"/>
              </w:rPr>
              <w:t>Maximise choice</w:t>
            </w:r>
          </w:p>
        </w:tc>
        <w:tc>
          <w:tcPr>
            <w:tcW w:w="3685" w:type="dxa"/>
          </w:tcPr>
          <w:p w14:paraId="64388A34" w14:textId="64971E9C" w:rsidR="007E7255" w:rsidRPr="0084450B" w:rsidRDefault="007E7255" w:rsidP="005C4004">
            <w:pPr>
              <w:rPr>
                <w:rFonts w:ascii="Franklin Gothic Book" w:hAnsi="Franklin Gothic Book"/>
                <w:lang w:val="en-AU"/>
              </w:rPr>
            </w:pPr>
            <w:r w:rsidRPr="0084450B">
              <w:rPr>
                <w:rFonts w:ascii="Franklin Gothic Book" w:hAnsi="Franklin Gothic Book"/>
                <w:lang w:val="en-AU"/>
              </w:rPr>
              <w:t xml:space="preserve">The Team Leader will add new admissions to Compass and assign Roll Flag to indicate Brief Student Plan is Required. A member of </w:t>
            </w:r>
            <w:r w:rsidR="005C4004" w:rsidRPr="0084450B">
              <w:rPr>
                <w:rFonts w:ascii="Franklin Gothic Book" w:hAnsi="Franklin Gothic Book"/>
                <w:lang w:val="en-AU"/>
              </w:rPr>
              <w:t>the Data and Assessment</w:t>
            </w:r>
            <w:r w:rsidRPr="0084450B">
              <w:rPr>
                <w:rFonts w:ascii="Franklin Gothic Book" w:hAnsi="Franklin Gothic Book"/>
                <w:lang w:val="en-AU"/>
              </w:rPr>
              <w:t xml:space="preserve"> team will conduct enrolments and record information on Compass</w:t>
            </w:r>
            <w:r w:rsidR="008E02EB">
              <w:rPr>
                <w:rFonts w:ascii="Franklin Gothic Book" w:hAnsi="Franklin Gothic Book"/>
                <w:lang w:val="en-AU"/>
              </w:rPr>
              <w:t>.</w:t>
            </w:r>
            <w:r w:rsidRPr="0084450B">
              <w:rPr>
                <w:rFonts w:ascii="Franklin Gothic Book" w:hAnsi="Franklin Gothic Book"/>
                <w:lang w:val="en-AU"/>
              </w:rPr>
              <w:t xml:space="preserve"> The transitions advocate will attend Care Team Meetings</w:t>
            </w:r>
            <w:r w:rsidR="005C4004" w:rsidRPr="0084450B">
              <w:rPr>
                <w:rFonts w:ascii="Franklin Gothic Book" w:hAnsi="Franklin Gothic Book"/>
                <w:lang w:val="en-AU"/>
              </w:rPr>
              <w:t xml:space="preserve"> and support students with the career/post school support planning</w:t>
            </w:r>
            <w:r w:rsidRPr="0084450B">
              <w:rPr>
                <w:rFonts w:ascii="Franklin Gothic Book" w:hAnsi="Franklin Gothic Book"/>
                <w:lang w:val="en-AU"/>
              </w:rPr>
              <w:t xml:space="preserve">. </w:t>
            </w:r>
          </w:p>
        </w:tc>
      </w:tr>
      <w:tr w:rsidR="007E7255" w:rsidRPr="0084450B" w14:paraId="0411FA12" w14:textId="77777777" w:rsidTr="00D243AB">
        <w:tc>
          <w:tcPr>
            <w:tcW w:w="2836" w:type="dxa"/>
            <w:shd w:val="clear" w:color="auto" w:fill="D9D9D9" w:themeFill="background1" w:themeFillShade="D9"/>
          </w:tcPr>
          <w:p w14:paraId="6677A368"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ASSESSMENT</w:t>
            </w:r>
          </w:p>
        </w:tc>
        <w:tc>
          <w:tcPr>
            <w:tcW w:w="4677" w:type="dxa"/>
          </w:tcPr>
          <w:p w14:paraId="16C4ACD8" w14:textId="33D8EA48" w:rsidR="007E7255" w:rsidRPr="0084450B" w:rsidRDefault="007E7255" w:rsidP="001D357C">
            <w:pPr>
              <w:rPr>
                <w:rFonts w:ascii="Franklin Gothic Book" w:hAnsi="Franklin Gothic Book"/>
                <w:lang w:val="en-AU"/>
              </w:rPr>
            </w:pPr>
            <w:r w:rsidRPr="0084450B">
              <w:rPr>
                <w:rFonts w:ascii="Franklin Gothic Book" w:hAnsi="Franklin Gothic Book"/>
                <w:lang w:val="en-AU"/>
              </w:rPr>
              <w:t>Students are expected to complete Literacy (YARC, TWS) and Numeracy (WIAT) assessments during their time in Admissions</w:t>
            </w:r>
            <w:r w:rsidR="008E02EB">
              <w:rPr>
                <w:rFonts w:ascii="Franklin Gothic Book" w:hAnsi="Franklin Gothic Book"/>
                <w:lang w:val="en-AU"/>
              </w:rPr>
              <w:t>,</w:t>
            </w:r>
            <w:r w:rsidRPr="0084450B">
              <w:rPr>
                <w:rFonts w:ascii="Franklin Gothic Book" w:hAnsi="Franklin Gothic Book"/>
                <w:lang w:val="en-AU"/>
              </w:rPr>
              <w:t xml:space="preserve"> </w:t>
            </w:r>
            <w:r w:rsidR="008E02EB">
              <w:rPr>
                <w:rFonts w:ascii="Franklin Gothic Book" w:hAnsi="Franklin Gothic Book"/>
                <w:lang w:val="en-AU"/>
              </w:rPr>
              <w:t>o</w:t>
            </w:r>
            <w:r w:rsidR="001D357C" w:rsidRPr="0084450B">
              <w:rPr>
                <w:rFonts w:ascii="Franklin Gothic Book" w:hAnsi="Franklin Gothic Book"/>
                <w:lang w:val="en-AU"/>
              </w:rPr>
              <w:t>r on arrival into another unit</w:t>
            </w:r>
            <w:r w:rsidRPr="0084450B">
              <w:rPr>
                <w:rFonts w:ascii="Franklin Gothic Book" w:hAnsi="Franklin Gothic Book"/>
                <w:lang w:val="en-AU"/>
              </w:rPr>
              <w:t xml:space="preserve"> Data from assessment tasks informs planning for teaching and learning and transition</w:t>
            </w:r>
            <w:r w:rsidR="001D357C" w:rsidRPr="0084450B">
              <w:rPr>
                <w:rFonts w:ascii="Franklin Gothic Book" w:hAnsi="Franklin Gothic Book"/>
                <w:lang w:val="en-AU"/>
              </w:rPr>
              <w:t xml:space="preserve"> planning</w:t>
            </w:r>
            <w:r w:rsidR="008E02EB">
              <w:rPr>
                <w:rFonts w:ascii="Franklin Gothic Book" w:hAnsi="Franklin Gothic Book"/>
                <w:lang w:val="en-AU"/>
              </w:rPr>
              <w:t xml:space="preserve">. </w:t>
            </w:r>
            <w:r w:rsidRPr="0084450B">
              <w:rPr>
                <w:rFonts w:ascii="Franklin Gothic Book" w:hAnsi="Franklin Gothic Book"/>
                <w:lang w:val="en-AU"/>
              </w:rPr>
              <w:t xml:space="preserve">Feedback from assessment tasks provides students with an opportunity to discuss and prioritise their learning goals with teachers. </w:t>
            </w:r>
          </w:p>
        </w:tc>
        <w:tc>
          <w:tcPr>
            <w:tcW w:w="4395" w:type="dxa"/>
          </w:tcPr>
          <w:p w14:paraId="122788B4"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Evidence based teaching and learning</w:t>
            </w:r>
          </w:p>
          <w:p w14:paraId="11B417A4" w14:textId="77777777" w:rsidR="007E7255" w:rsidRPr="0084450B" w:rsidRDefault="007E7255" w:rsidP="00D243AB">
            <w:pPr>
              <w:pStyle w:val="ListParagraph"/>
              <w:numPr>
                <w:ilvl w:val="0"/>
                <w:numId w:val="20"/>
              </w:numPr>
              <w:rPr>
                <w:rFonts w:ascii="Franklin Gothic Book" w:hAnsi="Franklin Gothic Book"/>
                <w:lang w:val="en-AU"/>
              </w:rPr>
            </w:pPr>
            <w:r w:rsidRPr="0084450B">
              <w:rPr>
                <w:rFonts w:ascii="Franklin Gothic Book" w:hAnsi="Franklin Gothic Book"/>
                <w:lang w:val="en-AU"/>
              </w:rPr>
              <w:t>Assessment for/of/as learning</w:t>
            </w:r>
          </w:p>
          <w:p w14:paraId="44FBB589"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Student empowerment and voice</w:t>
            </w:r>
          </w:p>
          <w:p w14:paraId="07702323" w14:textId="77777777" w:rsidR="007E7255" w:rsidRPr="0084450B" w:rsidRDefault="007E7255" w:rsidP="00D243AB">
            <w:pPr>
              <w:pStyle w:val="ListParagraph"/>
              <w:numPr>
                <w:ilvl w:val="0"/>
                <w:numId w:val="20"/>
              </w:numPr>
              <w:rPr>
                <w:rFonts w:ascii="Franklin Gothic Book" w:hAnsi="Franklin Gothic Book"/>
                <w:b/>
                <w:lang w:val="en-AU"/>
              </w:rPr>
            </w:pPr>
            <w:r w:rsidRPr="0084450B">
              <w:rPr>
                <w:rFonts w:ascii="Franklin Gothic Book" w:hAnsi="Franklin Gothic Book"/>
                <w:lang w:val="en-AU"/>
              </w:rPr>
              <w:t>Student driven learning</w:t>
            </w:r>
          </w:p>
          <w:p w14:paraId="7400AB70" w14:textId="77777777" w:rsidR="007E7255" w:rsidRPr="0084450B" w:rsidRDefault="007E7255" w:rsidP="00D243AB">
            <w:pPr>
              <w:pStyle w:val="ListParagraph"/>
              <w:numPr>
                <w:ilvl w:val="0"/>
                <w:numId w:val="20"/>
              </w:numPr>
              <w:rPr>
                <w:rFonts w:ascii="Franklin Gothic Book" w:hAnsi="Franklin Gothic Book"/>
                <w:b/>
                <w:lang w:val="en-AU"/>
              </w:rPr>
            </w:pPr>
            <w:r w:rsidRPr="0084450B">
              <w:rPr>
                <w:rFonts w:ascii="Franklin Gothic Book" w:hAnsi="Franklin Gothic Book"/>
                <w:lang w:val="en-AU"/>
              </w:rPr>
              <w:t>Maximise choice</w:t>
            </w:r>
          </w:p>
        </w:tc>
        <w:tc>
          <w:tcPr>
            <w:tcW w:w="3685" w:type="dxa"/>
          </w:tcPr>
          <w:p w14:paraId="58BDCA97" w14:textId="70E2EEC0" w:rsidR="007E7255" w:rsidRPr="0084450B" w:rsidRDefault="007E7255" w:rsidP="001D357C">
            <w:pPr>
              <w:rPr>
                <w:rFonts w:ascii="Franklin Gothic Book" w:hAnsi="Franklin Gothic Book"/>
                <w:lang w:val="en-AU"/>
              </w:rPr>
            </w:pPr>
            <w:r w:rsidRPr="0084450B">
              <w:rPr>
                <w:rFonts w:ascii="Franklin Gothic Book" w:hAnsi="Franklin Gothic Book"/>
                <w:lang w:val="en-AU"/>
              </w:rPr>
              <w:t xml:space="preserve">The Classroom Teacher will conduct Literacy and Numeracy assessments with each student and record results on Compass. Assessments are generally completed </w:t>
            </w:r>
            <w:r w:rsidR="001D357C" w:rsidRPr="0084450B">
              <w:rPr>
                <w:rFonts w:ascii="Franklin Gothic Book" w:hAnsi="Franklin Gothic Book"/>
                <w:lang w:val="en-AU"/>
              </w:rPr>
              <w:t xml:space="preserve">when a student is ready to be assessed and </w:t>
            </w:r>
            <w:r w:rsidRPr="0084450B">
              <w:rPr>
                <w:rFonts w:ascii="Franklin Gothic Book" w:hAnsi="Franklin Gothic Book"/>
                <w:lang w:val="en-AU"/>
              </w:rPr>
              <w:t xml:space="preserve">outside the Classroom Teacher’s allocated class times, at a time negotiated with the student, other teachers, and DJCS staff. Lead Teachers will support Classroom Teachers </w:t>
            </w:r>
            <w:r w:rsidR="001D357C" w:rsidRPr="0084450B">
              <w:rPr>
                <w:rFonts w:ascii="Franklin Gothic Book" w:hAnsi="Franklin Gothic Book"/>
                <w:lang w:val="en-AU"/>
              </w:rPr>
              <w:t xml:space="preserve">with role </w:t>
            </w:r>
            <w:r w:rsidR="008E02EB" w:rsidRPr="0084450B">
              <w:rPr>
                <w:rFonts w:ascii="Franklin Gothic Book" w:hAnsi="Franklin Gothic Book"/>
                <w:lang w:val="en-AU"/>
              </w:rPr>
              <w:t>modelling</w:t>
            </w:r>
            <w:r w:rsidR="001D357C" w:rsidRPr="0084450B">
              <w:rPr>
                <w:rFonts w:ascii="Franklin Gothic Book" w:hAnsi="Franklin Gothic Book"/>
                <w:lang w:val="en-AU"/>
              </w:rPr>
              <w:t>, curriculum planning and supervision.</w:t>
            </w:r>
          </w:p>
        </w:tc>
      </w:tr>
    </w:tbl>
    <w:p w14:paraId="0B6AA11A" w14:textId="77777777" w:rsidR="0070168C" w:rsidRPr="0084450B" w:rsidRDefault="0070168C" w:rsidP="00E8727F">
      <w:pPr>
        <w:rPr>
          <w:sz w:val="22"/>
          <w:szCs w:val="22"/>
          <w:lang w:val="en-AU"/>
        </w:rPr>
      </w:pPr>
    </w:p>
    <w:p w14:paraId="14B30EA8" w14:textId="680DAEE1" w:rsidR="0070168C" w:rsidRPr="0084450B" w:rsidRDefault="008E0BF9" w:rsidP="00C17731">
      <w:pPr>
        <w:pStyle w:val="Heading3"/>
        <w:rPr>
          <w:lang w:val="en-AU"/>
        </w:rPr>
      </w:pPr>
      <w:bookmarkStart w:id="13" w:name="_Toc97294804"/>
      <w:r w:rsidRPr="0084450B">
        <w:rPr>
          <w:lang w:val="en-AU"/>
        </w:rPr>
        <w:t>S</w:t>
      </w:r>
      <w:r w:rsidR="00030FE0" w:rsidRPr="0084450B">
        <w:rPr>
          <w:lang w:val="en-AU"/>
        </w:rPr>
        <w:t xml:space="preserve">ecure Care </w:t>
      </w:r>
      <w:r w:rsidRPr="0084450B">
        <w:rPr>
          <w:lang w:val="en-AU"/>
        </w:rPr>
        <w:t>S</w:t>
      </w:r>
      <w:r w:rsidR="00030FE0" w:rsidRPr="0084450B">
        <w:rPr>
          <w:lang w:val="en-AU"/>
        </w:rPr>
        <w:t>ervices</w:t>
      </w:r>
      <w:bookmarkEnd w:id="13"/>
    </w:p>
    <w:tbl>
      <w:tblPr>
        <w:tblStyle w:val="TableGrid"/>
        <w:tblW w:w="15593" w:type="dxa"/>
        <w:tblInd w:w="-714" w:type="dxa"/>
        <w:tblLook w:val="04A0" w:firstRow="1" w:lastRow="0" w:firstColumn="1" w:lastColumn="0" w:noHBand="0" w:noVBand="1"/>
      </w:tblPr>
      <w:tblGrid>
        <w:gridCol w:w="2836"/>
        <w:gridCol w:w="4677"/>
        <w:gridCol w:w="4395"/>
        <w:gridCol w:w="3685"/>
      </w:tblGrid>
      <w:tr w:rsidR="008E0BF9" w:rsidRPr="0084450B" w14:paraId="2E2C4C28" w14:textId="77777777" w:rsidTr="00313D79">
        <w:tc>
          <w:tcPr>
            <w:tcW w:w="2836" w:type="dxa"/>
            <w:shd w:val="clear" w:color="auto" w:fill="114969" w:themeFill="text1"/>
          </w:tcPr>
          <w:p w14:paraId="04DF8E2A" w14:textId="77777777" w:rsidR="008E0BF9" w:rsidRPr="0084450B" w:rsidRDefault="008E0BF9" w:rsidP="00313D79">
            <w:pPr>
              <w:rPr>
                <w:lang w:val="en-AU"/>
              </w:rPr>
            </w:pPr>
          </w:p>
        </w:tc>
        <w:tc>
          <w:tcPr>
            <w:tcW w:w="4677" w:type="dxa"/>
            <w:shd w:val="clear" w:color="auto" w:fill="D9D9D9" w:themeFill="background1" w:themeFillShade="D9"/>
          </w:tcPr>
          <w:p w14:paraId="0F5D8C32" w14:textId="77777777" w:rsidR="008E0BF9" w:rsidRPr="0084450B" w:rsidRDefault="008E0BF9" w:rsidP="00313D79">
            <w:pPr>
              <w:rPr>
                <w:b/>
                <w:lang w:val="en-AU"/>
              </w:rPr>
            </w:pPr>
            <w:r w:rsidRPr="0084450B">
              <w:rPr>
                <w:b/>
                <w:lang w:val="en-AU"/>
              </w:rPr>
              <w:t xml:space="preserve">DETAIL &amp; PURPOSE </w:t>
            </w:r>
          </w:p>
        </w:tc>
        <w:tc>
          <w:tcPr>
            <w:tcW w:w="4395" w:type="dxa"/>
            <w:shd w:val="clear" w:color="auto" w:fill="D9D9D9" w:themeFill="background1" w:themeFillShade="D9"/>
          </w:tcPr>
          <w:p w14:paraId="12D810B7" w14:textId="77777777" w:rsidR="008E0BF9" w:rsidRPr="0084450B" w:rsidRDefault="008E0BF9" w:rsidP="00313D79">
            <w:pPr>
              <w:rPr>
                <w:b/>
                <w:lang w:val="en-AU"/>
              </w:rPr>
            </w:pPr>
            <w:r w:rsidRPr="0084450B">
              <w:rPr>
                <w:b/>
                <w:lang w:val="en-AU"/>
              </w:rPr>
              <w:t>LINKS TO THE PARKVILLE COLLEGE MODEL</w:t>
            </w:r>
          </w:p>
        </w:tc>
        <w:tc>
          <w:tcPr>
            <w:tcW w:w="3685" w:type="dxa"/>
            <w:shd w:val="clear" w:color="auto" w:fill="D9D9D9" w:themeFill="background1" w:themeFillShade="D9"/>
          </w:tcPr>
          <w:p w14:paraId="0605F8F4" w14:textId="77777777" w:rsidR="008E0BF9" w:rsidRPr="0084450B" w:rsidRDefault="008E0BF9" w:rsidP="00313D79">
            <w:pPr>
              <w:rPr>
                <w:b/>
                <w:lang w:val="en-AU"/>
              </w:rPr>
            </w:pPr>
            <w:r w:rsidRPr="0084450B">
              <w:rPr>
                <w:b/>
                <w:lang w:val="en-AU"/>
              </w:rPr>
              <w:t>STAFF RESPONSIBLE</w:t>
            </w:r>
          </w:p>
        </w:tc>
      </w:tr>
      <w:tr w:rsidR="008E0BF9" w:rsidRPr="0084450B" w14:paraId="1FF40054" w14:textId="77777777" w:rsidTr="00313D79">
        <w:tc>
          <w:tcPr>
            <w:tcW w:w="2836" w:type="dxa"/>
            <w:shd w:val="clear" w:color="auto" w:fill="D9D9D9" w:themeFill="background1" w:themeFillShade="D9"/>
          </w:tcPr>
          <w:p w14:paraId="7472781D" w14:textId="77777777" w:rsidR="008E0BF9" w:rsidRPr="0084450B" w:rsidRDefault="008E0BF9" w:rsidP="00313D79">
            <w:pPr>
              <w:rPr>
                <w:b/>
                <w:lang w:val="en-AU"/>
              </w:rPr>
            </w:pPr>
            <w:r w:rsidRPr="0084450B">
              <w:rPr>
                <w:b/>
                <w:lang w:val="en-AU"/>
              </w:rPr>
              <w:t>ENROLMENT</w:t>
            </w:r>
          </w:p>
        </w:tc>
        <w:tc>
          <w:tcPr>
            <w:tcW w:w="4677" w:type="dxa"/>
          </w:tcPr>
          <w:p w14:paraId="6676EBB7" w14:textId="77777777" w:rsidR="008E0BF9" w:rsidRPr="0084450B" w:rsidRDefault="008E0BF9" w:rsidP="00313D79">
            <w:pPr>
              <w:rPr>
                <w:lang w:val="en-AU"/>
              </w:rPr>
            </w:pPr>
            <w:r w:rsidRPr="0084450B">
              <w:rPr>
                <w:lang w:val="en-AU"/>
              </w:rPr>
              <w:t xml:space="preserve">Enrolment is completed during a one-on-one conversation with a teacher before the student attends school programs. In addition to learning about students, the enrolment conversation is an opportunity to introduce our school and explain our daily program. Data from enrolment conversations and </w:t>
            </w:r>
            <w:proofErr w:type="gramStart"/>
            <w:r w:rsidRPr="0084450B">
              <w:rPr>
                <w:lang w:val="en-AU"/>
              </w:rPr>
              <w:t>48 hour</w:t>
            </w:r>
            <w:proofErr w:type="gramEnd"/>
            <w:r w:rsidRPr="0084450B">
              <w:rPr>
                <w:lang w:val="en-AU"/>
              </w:rPr>
              <w:t xml:space="preserve"> meetings form the basis of the Student Plan.</w:t>
            </w:r>
          </w:p>
        </w:tc>
        <w:tc>
          <w:tcPr>
            <w:tcW w:w="4395" w:type="dxa"/>
          </w:tcPr>
          <w:p w14:paraId="7B3DBCFE" w14:textId="77777777" w:rsidR="008E0BF9" w:rsidRPr="0084450B" w:rsidRDefault="008E0BF9" w:rsidP="00313D79">
            <w:pPr>
              <w:rPr>
                <w:b/>
                <w:lang w:val="en-AU"/>
              </w:rPr>
            </w:pPr>
            <w:r w:rsidRPr="0084450B">
              <w:rPr>
                <w:b/>
                <w:lang w:val="en-AU"/>
              </w:rPr>
              <w:t>Strong, secure relationships and safe spaces</w:t>
            </w:r>
          </w:p>
          <w:p w14:paraId="0A886399" w14:textId="77777777" w:rsidR="008E0BF9" w:rsidRPr="0084450B" w:rsidRDefault="008E0BF9" w:rsidP="008E0BF9">
            <w:pPr>
              <w:pStyle w:val="ListParagraph"/>
              <w:numPr>
                <w:ilvl w:val="0"/>
                <w:numId w:val="18"/>
              </w:numPr>
              <w:rPr>
                <w:lang w:val="en-AU"/>
              </w:rPr>
            </w:pPr>
            <w:r w:rsidRPr="0084450B">
              <w:rPr>
                <w:lang w:val="en-AU"/>
              </w:rPr>
              <w:t>Reliable, consistent attachments</w:t>
            </w:r>
          </w:p>
          <w:p w14:paraId="2D6199DC" w14:textId="77777777" w:rsidR="008E0BF9" w:rsidRPr="0084450B" w:rsidRDefault="008E0BF9" w:rsidP="008E0BF9">
            <w:pPr>
              <w:pStyle w:val="ListParagraph"/>
              <w:numPr>
                <w:ilvl w:val="0"/>
                <w:numId w:val="18"/>
              </w:numPr>
              <w:rPr>
                <w:lang w:val="en-AU"/>
              </w:rPr>
            </w:pPr>
            <w:r w:rsidRPr="0084450B">
              <w:rPr>
                <w:lang w:val="en-AU"/>
              </w:rPr>
              <w:t>Safe learning spaces</w:t>
            </w:r>
          </w:p>
          <w:p w14:paraId="14584605" w14:textId="77777777" w:rsidR="008E0BF9" w:rsidRPr="0084450B" w:rsidRDefault="008E0BF9" w:rsidP="008E0BF9">
            <w:pPr>
              <w:pStyle w:val="ListParagraph"/>
              <w:numPr>
                <w:ilvl w:val="0"/>
                <w:numId w:val="18"/>
              </w:numPr>
              <w:rPr>
                <w:lang w:val="en-AU"/>
              </w:rPr>
            </w:pPr>
            <w:r w:rsidRPr="0084450B">
              <w:rPr>
                <w:lang w:val="en-AU"/>
              </w:rPr>
              <w:t>High Impact Engagement Strategies</w:t>
            </w:r>
          </w:p>
          <w:p w14:paraId="1982F108" w14:textId="77777777" w:rsidR="008E0BF9" w:rsidRPr="0084450B" w:rsidRDefault="008E0BF9" w:rsidP="00313D79">
            <w:pPr>
              <w:rPr>
                <w:b/>
                <w:lang w:val="en-AU"/>
              </w:rPr>
            </w:pPr>
            <w:r w:rsidRPr="0084450B">
              <w:rPr>
                <w:b/>
                <w:lang w:val="en-AU"/>
              </w:rPr>
              <w:t>Connection to community and culture</w:t>
            </w:r>
          </w:p>
          <w:p w14:paraId="4F6570C2" w14:textId="77777777" w:rsidR="008E0BF9" w:rsidRPr="0084450B" w:rsidRDefault="008E0BF9" w:rsidP="008E0BF9">
            <w:pPr>
              <w:pStyle w:val="ListParagraph"/>
              <w:numPr>
                <w:ilvl w:val="0"/>
                <w:numId w:val="23"/>
              </w:numPr>
              <w:rPr>
                <w:b/>
                <w:lang w:val="en-AU"/>
              </w:rPr>
            </w:pPr>
            <w:r w:rsidRPr="0084450B">
              <w:rPr>
                <w:lang w:val="en-AU"/>
              </w:rPr>
              <w:t>Family and community connection</w:t>
            </w:r>
          </w:p>
          <w:p w14:paraId="01A3ACCE" w14:textId="77777777" w:rsidR="008E0BF9" w:rsidRPr="0084450B" w:rsidRDefault="008E0BF9" w:rsidP="008E0BF9">
            <w:pPr>
              <w:pStyle w:val="ListParagraph"/>
              <w:numPr>
                <w:ilvl w:val="0"/>
                <w:numId w:val="23"/>
              </w:numPr>
              <w:rPr>
                <w:b/>
                <w:lang w:val="en-AU"/>
              </w:rPr>
            </w:pPr>
            <w:r w:rsidRPr="0084450B">
              <w:rPr>
                <w:lang w:val="en-AU"/>
              </w:rPr>
              <w:t>Learning in the context of culture</w:t>
            </w:r>
          </w:p>
          <w:p w14:paraId="7F2904A4" w14:textId="77777777" w:rsidR="008E0BF9" w:rsidRPr="0084450B" w:rsidRDefault="008E0BF9" w:rsidP="008E0BF9">
            <w:pPr>
              <w:pStyle w:val="ListParagraph"/>
              <w:numPr>
                <w:ilvl w:val="0"/>
                <w:numId w:val="23"/>
              </w:numPr>
              <w:rPr>
                <w:b/>
                <w:lang w:val="en-AU"/>
              </w:rPr>
            </w:pPr>
            <w:r w:rsidRPr="0084450B">
              <w:rPr>
                <w:lang w:val="en-AU"/>
              </w:rPr>
              <w:t>Student centred transitions</w:t>
            </w:r>
          </w:p>
          <w:p w14:paraId="63A4156B" w14:textId="77777777" w:rsidR="008E0BF9" w:rsidRPr="0084450B" w:rsidRDefault="008E0BF9" w:rsidP="00313D79">
            <w:pPr>
              <w:rPr>
                <w:b/>
                <w:lang w:val="en-AU"/>
              </w:rPr>
            </w:pPr>
            <w:r w:rsidRPr="0084450B">
              <w:rPr>
                <w:b/>
                <w:lang w:val="en-AU"/>
              </w:rPr>
              <w:t>Student empowerment and voice</w:t>
            </w:r>
          </w:p>
          <w:p w14:paraId="28D68968" w14:textId="77777777" w:rsidR="008E0BF9" w:rsidRPr="0084450B" w:rsidRDefault="008E0BF9" w:rsidP="008E0BF9">
            <w:pPr>
              <w:pStyle w:val="ListParagraph"/>
              <w:numPr>
                <w:ilvl w:val="0"/>
                <w:numId w:val="22"/>
              </w:numPr>
              <w:rPr>
                <w:b/>
                <w:lang w:val="en-AU"/>
              </w:rPr>
            </w:pPr>
            <w:r w:rsidRPr="0084450B">
              <w:rPr>
                <w:lang w:val="en-AU"/>
              </w:rPr>
              <w:t>Explore student identity</w:t>
            </w:r>
          </w:p>
          <w:p w14:paraId="496224F6" w14:textId="77777777" w:rsidR="008E0BF9" w:rsidRPr="0084450B" w:rsidRDefault="008E0BF9" w:rsidP="008E0BF9">
            <w:pPr>
              <w:pStyle w:val="ListParagraph"/>
              <w:numPr>
                <w:ilvl w:val="0"/>
                <w:numId w:val="22"/>
              </w:numPr>
              <w:rPr>
                <w:b/>
                <w:lang w:val="en-AU"/>
              </w:rPr>
            </w:pPr>
            <w:r w:rsidRPr="0084450B">
              <w:rPr>
                <w:lang w:val="en-AU"/>
              </w:rPr>
              <w:t>Student driven learning</w:t>
            </w:r>
          </w:p>
          <w:p w14:paraId="5530C476" w14:textId="77777777" w:rsidR="008E0BF9" w:rsidRPr="0084450B" w:rsidRDefault="008E0BF9" w:rsidP="008E0BF9">
            <w:pPr>
              <w:pStyle w:val="ListParagraph"/>
              <w:numPr>
                <w:ilvl w:val="0"/>
                <w:numId w:val="22"/>
              </w:numPr>
              <w:rPr>
                <w:b/>
                <w:lang w:val="en-AU"/>
              </w:rPr>
            </w:pPr>
            <w:r w:rsidRPr="0084450B">
              <w:rPr>
                <w:lang w:val="en-AU"/>
              </w:rPr>
              <w:t>Maximise choice</w:t>
            </w:r>
          </w:p>
        </w:tc>
        <w:tc>
          <w:tcPr>
            <w:tcW w:w="3685" w:type="dxa"/>
          </w:tcPr>
          <w:p w14:paraId="4AEDCD91" w14:textId="77777777" w:rsidR="008E0BF9" w:rsidRPr="0084450B" w:rsidRDefault="008E0BF9" w:rsidP="00313D79">
            <w:pPr>
              <w:rPr>
                <w:lang w:val="en-AU"/>
              </w:rPr>
            </w:pPr>
            <w:r w:rsidRPr="0084450B">
              <w:rPr>
                <w:lang w:val="en-AU"/>
              </w:rPr>
              <w:t xml:space="preserve">The Lead Teacher will conduct enrolments, attend </w:t>
            </w:r>
            <w:proofErr w:type="gramStart"/>
            <w:r w:rsidRPr="0084450B">
              <w:rPr>
                <w:lang w:val="en-AU"/>
              </w:rPr>
              <w:t>48 hour</w:t>
            </w:r>
            <w:proofErr w:type="gramEnd"/>
            <w:r w:rsidRPr="0084450B">
              <w:rPr>
                <w:lang w:val="en-AU"/>
              </w:rPr>
              <w:t xml:space="preserve"> meetings, and record information gained on Compass to initiate the Student Plan. The Lead Teacher will support other teachers to conduct enrolments as required during periods of high student numbers.</w:t>
            </w:r>
          </w:p>
        </w:tc>
      </w:tr>
      <w:tr w:rsidR="008E0BF9" w:rsidRPr="0084450B" w14:paraId="6859BD84" w14:textId="77777777" w:rsidTr="00313D79">
        <w:tc>
          <w:tcPr>
            <w:tcW w:w="2836" w:type="dxa"/>
            <w:shd w:val="clear" w:color="auto" w:fill="D9D9D9" w:themeFill="background1" w:themeFillShade="D9"/>
          </w:tcPr>
          <w:p w14:paraId="6EBD6962" w14:textId="77777777" w:rsidR="008E0BF9" w:rsidRPr="0084450B" w:rsidRDefault="008E0BF9" w:rsidP="00313D79">
            <w:pPr>
              <w:rPr>
                <w:b/>
                <w:lang w:val="en-AU"/>
              </w:rPr>
            </w:pPr>
            <w:r w:rsidRPr="0084450B">
              <w:rPr>
                <w:b/>
                <w:lang w:val="en-AU"/>
              </w:rPr>
              <w:t>ASSESSMENT</w:t>
            </w:r>
          </w:p>
        </w:tc>
        <w:tc>
          <w:tcPr>
            <w:tcW w:w="4677" w:type="dxa"/>
          </w:tcPr>
          <w:p w14:paraId="7380D0C1" w14:textId="2F0E78F2" w:rsidR="008E0BF9" w:rsidRPr="0084450B" w:rsidRDefault="008E0BF9" w:rsidP="00313D79">
            <w:pPr>
              <w:rPr>
                <w:lang w:val="en-AU"/>
              </w:rPr>
            </w:pPr>
            <w:r w:rsidRPr="0084450B">
              <w:rPr>
                <w:lang w:val="en-AU"/>
              </w:rPr>
              <w:t xml:space="preserve">Students are expected to complete Literacy (YARC, TWS) and Numeracy (WIAT) assessments during their stay at </w:t>
            </w:r>
            <w:r w:rsidR="00380F1B" w:rsidRPr="0084450B">
              <w:rPr>
                <w:lang w:val="en-AU"/>
              </w:rPr>
              <w:t>Secure Care</w:t>
            </w:r>
            <w:r w:rsidRPr="0084450B">
              <w:rPr>
                <w:lang w:val="en-AU"/>
              </w:rPr>
              <w:t xml:space="preserve">. Data from assessment tasks informs the development of learning experiences. Feedback from assessment tasks provides students with an opportunity to discuss and prioritise their learning goals with teachers. </w:t>
            </w:r>
          </w:p>
        </w:tc>
        <w:tc>
          <w:tcPr>
            <w:tcW w:w="4395" w:type="dxa"/>
          </w:tcPr>
          <w:p w14:paraId="2FD57B91" w14:textId="77777777" w:rsidR="008E0BF9" w:rsidRPr="0084450B" w:rsidRDefault="008E0BF9" w:rsidP="00313D79">
            <w:pPr>
              <w:rPr>
                <w:b/>
                <w:lang w:val="en-AU"/>
              </w:rPr>
            </w:pPr>
            <w:r w:rsidRPr="0084450B">
              <w:rPr>
                <w:b/>
                <w:lang w:val="en-AU"/>
              </w:rPr>
              <w:t>Evidence based teaching and learning</w:t>
            </w:r>
          </w:p>
          <w:p w14:paraId="2BF24278" w14:textId="77777777" w:rsidR="008E0BF9" w:rsidRPr="0084450B" w:rsidRDefault="008E0BF9" w:rsidP="008E0BF9">
            <w:pPr>
              <w:pStyle w:val="ListParagraph"/>
              <w:numPr>
                <w:ilvl w:val="0"/>
                <w:numId w:val="20"/>
              </w:numPr>
              <w:rPr>
                <w:lang w:val="en-AU"/>
              </w:rPr>
            </w:pPr>
            <w:r w:rsidRPr="0084450B">
              <w:rPr>
                <w:lang w:val="en-AU"/>
              </w:rPr>
              <w:t>Assessment for/of/as learning</w:t>
            </w:r>
          </w:p>
          <w:p w14:paraId="07ECB270" w14:textId="77777777" w:rsidR="008E0BF9" w:rsidRPr="0084450B" w:rsidRDefault="008E0BF9" w:rsidP="00313D79">
            <w:pPr>
              <w:rPr>
                <w:b/>
                <w:lang w:val="en-AU"/>
              </w:rPr>
            </w:pPr>
            <w:r w:rsidRPr="0084450B">
              <w:rPr>
                <w:b/>
                <w:lang w:val="en-AU"/>
              </w:rPr>
              <w:t>Student empowerment and voice</w:t>
            </w:r>
          </w:p>
          <w:p w14:paraId="1E86390C" w14:textId="77777777" w:rsidR="008E0BF9" w:rsidRPr="0084450B" w:rsidRDefault="008E0BF9" w:rsidP="008E0BF9">
            <w:pPr>
              <w:pStyle w:val="ListParagraph"/>
              <w:numPr>
                <w:ilvl w:val="0"/>
                <w:numId w:val="20"/>
              </w:numPr>
              <w:rPr>
                <w:b/>
                <w:lang w:val="en-AU"/>
              </w:rPr>
            </w:pPr>
            <w:r w:rsidRPr="0084450B">
              <w:rPr>
                <w:lang w:val="en-AU"/>
              </w:rPr>
              <w:t>Student driven learning</w:t>
            </w:r>
          </w:p>
          <w:p w14:paraId="1E474A58" w14:textId="77777777" w:rsidR="008E0BF9" w:rsidRPr="0084450B" w:rsidRDefault="008E0BF9" w:rsidP="008E0BF9">
            <w:pPr>
              <w:pStyle w:val="ListParagraph"/>
              <w:numPr>
                <w:ilvl w:val="0"/>
                <w:numId w:val="20"/>
              </w:numPr>
              <w:rPr>
                <w:b/>
                <w:lang w:val="en-AU"/>
              </w:rPr>
            </w:pPr>
            <w:r w:rsidRPr="0084450B">
              <w:rPr>
                <w:lang w:val="en-AU"/>
              </w:rPr>
              <w:t>Maximise choice</w:t>
            </w:r>
          </w:p>
        </w:tc>
        <w:tc>
          <w:tcPr>
            <w:tcW w:w="3685" w:type="dxa"/>
          </w:tcPr>
          <w:p w14:paraId="2FFBC24C" w14:textId="481DAE51" w:rsidR="008E0BF9" w:rsidRPr="0084450B" w:rsidRDefault="008E0BF9" w:rsidP="00030FE0">
            <w:pPr>
              <w:rPr>
                <w:lang w:val="en-AU"/>
              </w:rPr>
            </w:pPr>
            <w:r w:rsidRPr="0084450B">
              <w:rPr>
                <w:lang w:val="en-AU"/>
              </w:rPr>
              <w:t>The Classroom Teacher will conduct Literacy and Numeracy assessments with each student and record results on Compass. Assessments are generally completed outside the Classroom Teacher’s allocated class times, at a time negotiated with the student, other teachers, and D</w:t>
            </w:r>
            <w:r w:rsidR="00030FE0" w:rsidRPr="0084450B">
              <w:rPr>
                <w:lang w:val="en-AU"/>
              </w:rPr>
              <w:t>FFH</w:t>
            </w:r>
            <w:r w:rsidRPr="0084450B">
              <w:rPr>
                <w:lang w:val="en-AU"/>
              </w:rPr>
              <w:t xml:space="preserve"> staff. Lead Teachers will support Classroom Teachers when student numbers are high.</w:t>
            </w:r>
          </w:p>
        </w:tc>
      </w:tr>
    </w:tbl>
    <w:p w14:paraId="0BA752C6" w14:textId="0E9AB623" w:rsidR="00B5267E" w:rsidRPr="0084450B" w:rsidRDefault="00B5267E" w:rsidP="00030FE0">
      <w:pPr>
        <w:rPr>
          <w:sz w:val="22"/>
          <w:szCs w:val="22"/>
          <w:lang w:val="en-AU"/>
        </w:rPr>
      </w:pPr>
    </w:p>
    <w:p w14:paraId="052A3C48" w14:textId="451E2BB9" w:rsidR="007E7255" w:rsidRPr="00C17731" w:rsidRDefault="007E7255" w:rsidP="00C17731">
      <w:pPr>
        <w:pStyle w:val="Heading3"/>
        <w:rPr>
          <w:lang w:val="en-AU"/>
        </w:rPr>
      </w:pPr>
      <w:bookmarkStart w:id="14" w:name="_Toc97294805"/>
      <w:r w:rsidRPr="0084450B">
        <w:rPr>
          <w:lang w:val="en-AU"/>
        </w:rPr>
        <w:t>FLC Campus</w:t>
      </w:r>
      <w:bookmarkEnd w:id="14"/>
    </w:p>
    <w:tbl>
      <w:tblPr>
        <w:tblStyle w:val="TableGrid"/>
        <w:tblW w:w="15593" w:type="dxa"/>
        <w:tblInd w:w="-714" w:type="dxa"/>
        <w:tblLook w:val="04A0" w:firstRow="1" w:lastRow="0" w:firstColumn="1" w:lastColumn="0" w:noHBand="0" w:noVBand="1"/>
      </w:tblPr>
      <w:tblGrid>
        <w:gridCol w:w="2836"/>
        <w:gridCol w:w="4677"/>
        <w:gridCol w:w="4395"/>
        <w:gridCol w:w="3685"/>
      </w:tblGrid>
      <w:tr w:rsidR="007E7255" w:rsidRPr="0084450B" w14:paraId="1A21571A" w14:textId="77777777" w:rsidTr="00D243AB">
        <w:tc>
          <w:tcPr>
            <w:tcW w:w="2836" w:type="dxa"/>
            <w:shd w:val="clear" w:color="auto" w:fill="114969" w:themeFill="text1"/>
          </w:tcPr>
          <w:p w14:paraId="5F2AABB3" w14:textId="77777777" w:rsidR="007E7255" w:rsidRPr="0084450B" w:rsidRDefault="007E7255" w:rsidP="00D243AB">
            <w:pPr>
              <w:rPr>
                <w:rFonts w:ascii="Franklin Gothic Book" w:hAnsi="Franklin Gothic Book"/>
                <w:lang w:val="en-AU"/>
              </w:rPr>
            </w:pPr>
          </w:p>
        </w:tc>
        <w:tc>
          <w:tcPr>
            <w:tcW w:w="4677" w:type="dxa"/>
            <w:shd w:val="clear" w:color="auto" w:fill="D9D9D9" w:themeFill="background1" w:themeFillShade="D9"/>
          </w:tcPr>
          <w:p w14:paraId="0309DB15"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 xml:space="preserve">DETAIL &amp; PURPOSE </w:t>
            </w:r>
          </w:p>
        </w:tc>
        <w:tc>
          <w:tcPr>
            <w:tcW w:w="4395" w:type="dxa"/>
            <w:shd w:val="clear" w:color="auto" w:fill="D9D9D9" w:themeFill="background1" w:themeFillShade="D9"/>
          </w:tcPr>
          <w:p w14:paraId="2C265B12"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LINKS TO THE PARKVILLE COLLEGE MODEL</w:t>
            </w:r>
          </w:p>
        </w:tc>
        <w:tc>
          <w:tcPr>
            <w:tcW w:w="3685" w:type="dxa"/>
            <w:shd w:val="clear" w:color="auto" w:fill="D9D9D9" w:themeFill="background1" w:themeFillShade="D9"/>
          </w:tcPr>
          <w:p w14:paraId="56807BFC" w14:textId="77777777" w:rsidR="007E7255" w:rsidRPr="0084450B" w:rsidRDefault="007E7255" w:rsidP="00D243AB">
            <w:pPr>
              <w:rPr>
                <w:rFonts w:ascii="Franklin Gothic Book" w:hAnsi="Franklin Gothic Book"/>
                <w:b/>
                <w:lang w:val="en-AU"/>
              </w:rPr>
            </w:pPr>
            <w:r w:rsidRPr="0084450B">
              <w:rPr>
                <w:rFonts w:ascii="Franklin Gothic Book" w:hAnsi="Franklin Gothic Book"/>
                <w:b/>
                <w:lang w:val="en-AU"/>
              </w:rPr>
              <w:t>STAFF RESPONSIBLE</w:t>
            </w:r>
          </w:p>
        </w:tc>
      </w:tr>
      <w:tr w:rsidR="00126AE3" w:rsidRPr="0084450B" w14:paraId="097B19A5" w14:textId="77777777" w:rsidTr="00D243AB">
        <w:tc>
          <w:tcPr>
            <w:tcW w:w="2836" w:type="dxa"/>
            <w:shd w:val="clear" w:color="auto" w:fill="D9D9D9" w:themeFill="background1" w:themeFillShade="D9"/>
          </w:tcPr>
          <w:p w14:paraId="15DC0B92" w14:textId="60D8B05B" w:rsidR="00126AE3" w:rsidRPr="0084450B" w:rsidRDefault="00126AE3" w:rsidP="00D243AB">
            <w:pPr>
              <w:rPr>
                <w:rFonts w:ascii="Franklin Gothic Book" w:hAnsi="Franklin Gothic Book"/>
                <w:b/>
                <w:lang w:val="en-AU"/>
              </w:rPr>
            </w:pPr>
            <w:r w:rsidRPr="0084450B">
              <w:rPr>
                <w:rFonts w:ascii="Franklin Gothic Book" w:hAnsi="Franklin Gothic Book"/>
                <w:b/>
                <w:lang w:val="en-AU"/>
              </w:rPr>
              <w:t>ENROLMENT AND ASSESSMENT</w:t>
            </w:r>
          </w:p>
        </w:tc>
        <w:tc>
          <w:tcPr>
            <w:tcW w:w="4677" w:type="dxa"/>
          </w:tcPr>
          <w:p w14:paraId="529380FE" w14:textId="3E624EE2" w:rsidR="00126AE3" w:rsidRPr="0084450B" w:rsidRDefault="00126AE3" w:rsidP="00126AE3">
            <w:pPr>
              <w:numPr>
                <w:ilvl w:val="0"/>
                <w:numId w:val="12"/>
              </w:numPr>
              <w:spacing w:line="360" w:lineRule="auto"/>
              <w:rPr>
                <w:rFonts w:ascii="Franklin Gothic Book" w:hAnsi="Franklin Gothic Book" w:cs="Calibri"/>
                <w:sz w:val="22"/>
                <w:szCs w:val="22"/>
                <w:lang w:val="en-AU"/>
              </w:rPr>
            </w:pPr>
            <w:r w:rsidRPr="0084450B">
              <w:rPr>
                <w:rFonts w:ascii="Franklin Gothic Book" w:hAnsi="Franklin Gothic Book" w:cs="Calibri"/>
                <w:sz w:val="22"/>
                <w:szCs w:val="22"/>
                <w:lang w:val="en-AU"/>
              </w:rPr>
              <w:t>Student or referrer makes an enquiry and is asked to complete a referral.</w:t>
            </w:r>
          </w:p>
          <w:p w14:paraId="7FC876FF" w14:textId="76D521C8" w:rsidR="00126AE3" w:rsidRPr="0084450B" w:rsidRDefault="00126AE3" w:rsidP="00126AE3">
            <w:pPr>
              <w:numPr>
                <w:ilvl w:val="0"/>
                <w:numId w:val="12"/>
              </w:numPr>
              <w:spacing w:line="360" w:lineRule="auto"/>
              <w:rPr>
                <w:rFonts w:ascii="Franklin Gothic Book" w:hAnsi="Franklin Gothic Book" w:cs="Calibri"/>
                <w:sz w:val="22"/>
                <w:szCs w:val="22"/>
                <w:lang w:val="en-AU"/>
              </w:rPr>
            </w:pPr>
            <w:r w:rsidRPr="0084450B">
              <w:rPr>
                <w:rFonts w:ascii="Franklin Gothic Book" w:hAnsi="Franklin Gothic Book" w:cs="Calibri"/>
                <w:sz w:val="22"/>
                <w:szCs w:val="22"/>
                <w:lang w:val="en-AU"/>
              </w:rPr>
              <w:t>Referral form is filled out and submitted by email</w:t>
            </w:r>
            <w:r w:rsidR="008E02EB">
              <w:rPr>
                <w:rFonts w:ascii="Franklin Gothic Book" w:hAnsi="Franklin Gothic Book" w:cs="Calibri"/>
                <w:sz w:val="22"/>
                <w:szCs w:val="22"/>
                <w:lang w:val="en-AU"/>
              </w:rPr>
              <w:t xml:space="preserve"> to </w:t>
            </w:r>
            <w:r w:rsidR="008E02EB" w:rsidRPr="0084450B">
              <w:rPr>
                <w:rFonts w:ascii="Franklin Gothic Book" w:hAnsi="Franklin Gothic Book" w:cs="Calibri"/>
                <w:sz w:val="22"/>
                <w:szCs w:val="22"/>
                <w:lang w:val="en-AU"/>
              </w:rPr>
              <w:t>Campus Coordinator or Youth Support Worker</w:t>
            </w:r>
            <w:r w:rsidRPr="0084450B">
              <w:rPr>
                <w:rFonts w:ascii="Franklin Gothic Book" w:hAnsi="Franklin Gothic Book" w:cs="Calibri"/>
                <w:sz w:val="22"/>
                <w:szCs w:val="22"/>
                <w:lang w:val="en-AU"/>
              </w:rPr>
              <w:t>.</w:t>
            </w:r>
          </w:p>
          <w:p w14:paraId="488A15F6" w14:textId="0EF1C670" w:rsidR="00126AE3" w:rsidRPr="0084450B" w:rsidRDefault="00126AE3" w:rsidP="00126AE3">
            <w:pPr>
              <w:numPr>
                <w:ilvl w:val="0"/>
                <w:numId w:val="12"/>
              </w:numPr>
              <w:spacing w:line="360" w:lineRule="auto"/>
              <w:rPr>
                <w:rFonts w:ascii="Franklin Gothic Book" w:hAnsi="Franklin Gothic Book" w:cs="Calibri"/>
                <w:sz w:val="22"/>
                <w:szCs w:val="22"/>
                <w:lang w:val="en-AU"/>
              </w:rPr>
            </w:pPr>
            <w:r w:rsidRPr="0084450B">
              <w:rPr>
                <w:rFonts w:ascii="Franklin Gothic Book" w:hAnsi="Franklin Gothic Book" w:cs="Calibri"/>
                <w:sz w:val="22"/>
                <w:szCs w:val="22"/>
                <w:lang w:val="en-AU"/>
              </w:rPr>
              <w:t xml:space="preserve">Campus Coordinator or Youth Support Worker visits the student in custody or at secure </w:t>
            </w:r>
            <w:r w:rsidR="002F576C">
              <w:rPr>
                <w:rFonts w:ascii="Franklin Gothic Book" w:hAnsi="Franklin Gothic Book" w:cs="Calibri"/>
                <w:sz w:val="22"/>
                <w:szCs w:val="22"/>
                <w:lang w:val="en-AU"/>
              </w:rPr>
              <w:t>care</w:t>
            </w:r>
            <w:r w:rsidRPr="0084450B">
              <w:rPr>
                <w:rFonts w:ascii="Franklin Gothic Book" w:hAnsi="Franklin Gothic Book" w:cs="Calibri"/>
                <w:sz w:val="22"/>
                <w:szCs w:val="22"/>
                <w:lang w:val="en-AU"/>
              </w:rPr>
              <w:t xml:space="preserve">, contacts family (if appropriate) and referrer to explain the enrolment process.  </w:t>
            </w:r>
          </w:p>
          <w:p w14:paraId="74796BFC" w14:textId="77777777" w:rsidR="00126AE3" w:rsidRPr="0084450B" w:rsidRDefault="00126AE3" w:rsidP="00126AE3">
            <w:pPr>
              <w:numPr>
                <w:ilvl w:val="0"/>
                <w:numId w:val="12"/>
              </w:numPr>
              <w:spacing w:line="360" w:lineRule="auto"/>
              <w:rPr>
                <w:rFonts w:ascii="Franklin Gothic Book" w:hAnsi="Franklin Gothic Book" w:cs="Calibri"/>
                <w:sz w:val="22"/>
                <w:szCs w:val="22"/>
                <w:lang w:val="en-AU"/>
              </w:rPr>
            </w:pPr>
            <w:r w:rsidRPr="0084450B">
              <w:rPr>
                <w:rFonts w:ascii="Franklin Gothic Book" w:hAnsi="Franklin Gothic Book" w:cs="Calibri"/>
                <w:sz w:val="22"/>
                <w:szCs w:val="22"/>
                <w:lang w:val="en-AU"/>
              </w:rPr>
              <w:t>Assessment is made regarding appropriateness of the referral within seven days.</w:t>
            </w:r>
          </w:p>
          <w:p w14:paraId="713098C8" w14:textId="2F5A830D" w:rsidR="00126AE3" w:rsidRPr="0084450B" w:rsidRDefault="00126AE3" w:rsidP="00126AE3">
            <w:pPr>
              <w:numPr>
                <w:ilvl w:val="0"/>
                <w:numId w:val="12"/>
              </w:numPr>
              <w:spacing w:line="360" w:lineRule="auto"/>
              <w:rPr>
                <w:rFonts w:ascii="Franklin Gothic Book" w:hAnsi="Franklin Gothic Book" w:cs="Calibri"/>
                <w:sz w:val="22"/>
                <w:szCs w:val="22"/>
                <w:lang w:val="en-AU"/>
              </w:rPr>
            </w:pPr>
            <w:r w:rsidRPr="0084450B">
              <w:rPr>
                <w:rFonts w:ascii="Franklin Gothic Book" w:hAnsi="Franklin Gothic Book" w:cs="Calibri"/>
                <w:sz w:val="22"/>
                <w:szCs w:val="22"/>
                <w:lang w:val="en-AU"/>
              </w:rPr>
              <w:t xml:space="preserve">DET </w:t>
            </w:r>
            <w:r w:rsidR="008E02EB">
              <w:rPr>
                <w:rFonts w:ascii="Franklin Gothic Book" w:hAnsi="Franklin Gothic Book" w:cs="Calibri"/>
                <w:sz w:val="22"/>
                <w:szCs w:val="22"/>
                <w:lang w:val="en-AU"/>
              </w:rPr>
              <w:t>SW</w:t>
            </w:r>
            <w:r w:rsidRPr="0084450B">
              <w:rPr>
                <w:rFonts w:ascii="Franklin Gothic Book" w:hAnsi="Franklin Gothic Book" w:cs="Calibri"/>
                <w:sz w:val="22"/>
                <w:szCs w:val="22"/>
                <w:lang w:val="en-AU"/>
              </w:rPr>
              <w:t xml:space="preserve"> Regional office is contacted regarding referred students who are still engaged in school.</w:t>
            </w:r>
          </w:p>
          <w:p w14:paraId="706222C5" w14:textId="77777777" w:rsidR="00126AE3" w:rsidRPr="0084450B" w:rsidRDefault="00126AE3" w:rsidP="00126AE3">
            <w:pPr>
              <w:numPr>
                <w:ilvl w:val="0"/>
                <w:numId w:val="12"/>
              </w:numPr>
              <w:spacing w:line="360" w:lineRule="auto"/>
              <w:rPr>
                <w:rFonts w:ascii="Franklin Gothic Book" w:hAnsi="Franklin Gothic Book" w:cs="Calibri"/>
                <w:sz w:val="22"/>
                <w:szCs w:val="22"/>
                <w:lang w:val="en-AU"/>
              </w:rPr>
            </w:pPr>
            <w:r w:rsidRPr="0084450B">
              <w:rPr>
                <w:rFonts w:ascii="Franklin Gothic Book" w:hAnsi="Franklin Gothic Book" w:cs="Calibri"/>
                <w:sz w:val="22"/>
                <w:szCs w:val="22"/>
                <w:lang w:val="en-AU"/>
              </w:rPr>
              <w:t>If a school referral is made and is assessed as not appropriate the Campus Coordinator will email school contact, Area Wellbeing Officer and allocated Senior Education Improvement Leader and recommend that referral to Learning Places Connect is made.</w:t>
            </w:r>
          </w:p>
          <w:p w14:paraId="7FDCD1FA" w14:textId="77777777" w:rsidR="00126AE3" w:rsidRPr="0084450B" w:rsidRDefault="00126AE3" w:rsidP="00126AE3">
            <w:pPr>
              <w:numPr>
                <w:ilvl w:val="0"/>
                <w:numId w:val="12"/>
              </w:numPr>
              <w:spacing w:line="360" w:lineRule="auto"/>
              <w:rPr>
                <w:rFonts w:ascii="Franklin Gothic Book" w:hAnsi="Franklin Gothic Book" w:cs="Calibri"/>
                <w:sz w:val="22"/>
                <w:szCs w:val="22"/>
                <w:lang w:val="en-AU"/>
              </w:rPr>
            </w:pPr>
            <w:r w:rsidRPr="0084450B">
              <w:rPr>
                <w:rFonts w:ascii="Franklin Gothic Book" w:hAnsi="Franklin Gothic Book" w:cs="Calibri"/>
                <w:sz w:val="22"/>
                <w:szCs w:val="22"/>
                <w:lang w:val="en-AU"/>
              </w:rPr>
              <w:t>When a placement becomes available the Campus Coordinator or Youth Support Worker contacts student, family and support worker and asks them to come in for an intake meeting. When possible, a leave from Parkville or Malmsbury will be arranged for the first intake meeting.</w:t>
            </w:r>
          </w:p>
          <w:p w14:paraId="5570721C" w14:textId="77777777" w:rsidR="00126AE3" w:rsidRPr="0084450B" w:rsidRDefault="00126AE3" w:rsidP="00126AE3">
            <w:pPr>
              <w:numPr>
                <w:ilvl w:val="0"/>
                <w:numId w:val="12"/>
              </w:numPr>
              <w:spacing w:line="360" w:lineRule="auto"/>
              <w:rPr>
                <w:rFonts w:ascii="Franklin Gothic Book" w:hAnsi="Franklin Gothic Book" w:cs="Calibri"/>
                <w:sz w:val="22"/>
                <w:szCs w:val="22"/>
                <w:lang w:val="en-AU"/>
              </w:rPr>
            </w:pPr>
            <w:r w:rsidRPr="0084450B">
              <w:rPr>
                <w:rFonts w:ascii="Franklin Gothic Book" w:hAnsi="Franklin Gothic Book" w:cs="Calibri"/>
                <w:b/>
                <w:sz w:val="22"/>
                <w:szCs w:val="22"/>
                <w:lang w:val="en-AU"/>
              </w:rPr>
              <w:t>First intake:</w:t>
            </w:r>
            <w:r w:rsidRPr="0084450B">
              <w:rPr>
                <w:rFonts w:ascii="Franklin Gothic Book" w:hAnsi="Franklin Gothic Book" w:cs="Calibri"/>
                <w:sz w:val="22"/>
                <w:szCs w:val="22"/>
                <w:lang w:val="en-AU"/>
              </w:rPr>
              <w:t xml:space="preserve"> During the first intake meeting the Campus Coordinator or Youth Support Worker explains the O Street program including curriculum, wellbeing support, school expectations and shows the student around the school site. The</w:t>
            </w:r>
            <w:r w:rsidRPr="0084450B">
              <w:rPr>
                <w:lang w:val="en-AU"/>
              </w:rPr>
              <w:t xml:space="preserve"> </w:t>
            </w:r>
            <w:r w:rsidRPr="0084450B">
              <w:rPr>
                <w:rFonts w:ascii="Franklin Gothic Book" w:hAnsi="Franklin Gothic Book" w:cs="Calibri"/>
                <w:sz w:val="22"/>
                <w:szCs w:val="22"/>
                <w:lang w:val="en-AU"/>
              </w:rPr>
              <w:t xml:space="preserve">Campus Coordinator or Youth Support Worker also explain what the consequences when expectations cannot be met.  </w:t>
            </w:r>
          </w:p>
          <w:p w14:paraId="55D6739D" w14:textId="77777777" w:rsidR="00126AE3" w:rsidRPr="0084450B" w:rsidRDefault="00126AE3" w:rsidP="00126AE3">
            <w:pPr>
              <w:numPr>
                <w:ilvl w:val="0"/>
                <w:numId w:val="12"/>
              </w:numPr>
              <w:spacing w:line="360" w:lineRule="auto"/>
              <w:rPr>
                <w:rFonts w:ascii="Franklin Gothic Book" w:hAnsi="Franklin Gothic Book" w:cs="Calibri"/>
                <w:sz w:val="22"/>
                <w:szCs w:val="22"/>
                <w:lang w:val="en-AU"/>
              </w:rPr>
            </w:pPr>
            <w:r w:rsidRPr="0084450B">
              <w:rPr>
                <w:rFonts w:ascii="Franklin Gothic Book" w:hAnsi="Franklin Gothic Book" w:cs="Calibri"/>
                <w:sz w:val="22"/>
                <w:szCs w:val="22"/>
                <w:lang w:val="en-AU"/>
              </w:rPr>
              <w:t>The</w:t>
            </w:r>
            <w:r w:rsidRPr="0084450B">
              <w:rPr>
                <w:lang w:val="en-AU"/>
              </w:rPr>
              <w:t xml:space="preserve"> </w:t>
            </w:r>
            <w:r w:rsidRPr="0084450B">
              <w:rPr>
                <w:rFonts w:ascii="Franklin Gothic Book" w:hAnsi="Franklin Gothic Book" w:cs="Calibri"/>
                <w:sz w:val="22"/>
                <w:szCs w:val="22"/>
                <w:lang w:val="en-AU"/>
              </w:rPr>
              <w:t>Campus Coordinator or Youth Support Worker contacts student after 1 or 2 days and asks whether they would like to enrol.  If they do then a second intake meeting is arranged.</w:t>
            </w:r>
          </w:p>
          <w:p w14:paraId="1F1E26E7" w14:textId="77777777" w:rsidR="00126AE3" w:rsidRPr="0084450B" w:rsidRDefault="00126AE3" w:rsidP="00126AE3">
            <w:pPr>
              <w:numPr>
                <w:ilvl w:val="0"/>
                <w:numId w:val="12"/>
              </w:numPr>
              <w:spacing w:line="360" w:lineRule="auto"/>
              <w:rPr>
                <w:rFonts w:ascii="Franklin Gothic Book" w:hAnsi="Franklin Gothic Book" w:cs="Calibri"/>
                <w:sz w:val="22"/>
                <w:szCs w:val="22"/>
                <w:lang w:val="en-AU"/>
              </w:rPr>
            </w:pPr>
            <w:r w:rsidRPr="0084450B">
              <w:rPr>
                <w:rFonts w:ascii="Franklin Gothic Book" w:hAnsi="Franklin Gothic Book" w:cs="Calibri"/>
                <w:b/>
                <w:sz w:val="22"/>
                <w:szCs w:val="22"/>
                <w:lang w:val="en-AU"/>
              </w:rPr>
              <w:t xml:space="preserve">Second intake: </w:t>
            </w:r>
            <w:r w:rsidRPr="0084450B">
              <w:rPr>
                <w:rFonts w:ascii="Franklin Gothic Book" w:hAnsi="Franklin Gothic Book" w:cs="Calibri"/>
                <w:bCs/>
                <w:sz w:val="22"/>
                <w:szCs w:val="22"/>
                <w:lang w:val="en-AU"/>
              </w:rPr>
              <w:t>During the second</w:t>
            </w:r>
            <w:r w:rsidRPr="0084450B">
              <w:rPr>
                <w:rFonts w:ascii="Franklin Gothic Book" w:hAnsi="Franklin Gothic Book" w:cs="Calibri"/>
                <w:sz w:val="22"/>
                <w:szCs w:val="22"/>
                <w:lang w:val="en-AU"/>
              </w:rPr>
              <w:t xml:space="preserve"> meeting the student and The</w:t>
            </w:r>
            <w:r w:rsidRPr="0084450B">
              <w:rPr>
                <w:lang w:val="en-AU"/>
              </w:rPr>
              <w:t xml:space="preserve"> </w:t>
            </w:r>
            <w:r w:rsidRPr="0084450B">
              <w:rPr>
                <w:rFonts w:ascii="Franklin Gothic Book" w:hAnsi="Franklin Gothic Book" w:cs="Calibri"/>
                <w:sz w:val="22"/>
                <w:szCs w:val="22"/>
                <w:lang w:val="en-AU"/>
              </w:rPr>
              <w:t>Campus Coordinator or Youth Support Worker complete an intake assessment and discuss student’s timetable.  An enrolment form is given to the student for their parent/carer to fill out.  Student is told of when their first class will be.</w:t>
            </w:r>
          </w:p>
          <w:p w14:paraId="35B49E01" w14:textId="35EBCAC8" w:rsidR="00126AE3" w:rsidRPr="0084450B" w:rsidRDefault="00126AE3" w:rsidP="00DF380B">
            <w:pPr>
              <w:numPr>
                <w:ilvl w:val="0"/>
                <w:numId w:val="12"/>
              </w:numPr>
              <w:spacing w:line="360" w:lineRule="auto"/>
              <w:rPr>
                <w:rFonts w:ascii="Franklin Gothic Book" w:hAnsi="Franklin Gothic Book" w:cs="Calibri"/>
                <w:sz w:val="22"/>
                <w:szCs w:val="22"/>
                <w:lang w:val="en-AU"/>
              </w:rPr>
            </w:pPr>
            <w:r w:rsidRPr="0084450B">
              <w:rPr>
                <w:rFonts w:ascii="Franklin Gothic Book" w:hAnsi="Franklin Gothic Book" w:cs="Calibri"/>
                <w:b/>
                <w:sz w:val="22"/>
                <w:szCs w:val="22"/>
                <w:lang w:val="en-AU"/>
              </w:rPr>
              <w:t>Third intake</w:t>
            </w:r>
            <w:r w:rsidRPr="0084450B">
              <w:rPr>
                <w:rFonts w:ascii="Franklin Gothic Book" w:hAnsi="Franklin Gothic Book" w:cs="Calibri"/>
                <w:sz w:val="22"/>
                <w:szCs w:val="22"/>
                <w:lang w:val="en-AU"/>
              </w:rPr>
              <w:t xml:space="preserve"> meeting </w:t>
            </w:r>
            <w:r w:rsidRPr="0084450B">
              <w:rPr>
                <w:rFonts w:ascii="Franklin Gothic Book" w:hAnsi="Franklin Gothic Book" w:cs="Calibri"/>
                <w:b/>
                <w:sz w:val="22"/>
                <w:szCs w:val="22"/>
                <w:lang w:val="en-AU"/>
              </w:rPr>
              <w:t>may</w:t>
            </w:r>
            <w:r w:rsidRPr="0084450B">
              <w:rPr>
                <w:rFonts w:ascii="Franklin Gothic Book" w:hAnsi="Franklin Gothic Book" w:cs="Calibri"/>
                <w:sz w:val="22"/>
                <w:szCs w:val="22"/>
                <w:lang w:val="en-AU"/>
              </w:rPr>
              <w:t xml:space="preserve"> be arranged to complete a literacy and numeracy assessment.</w:t>
            </w:r>
          </w:p>
        </w:tc>
        <w:tc>
          <w:tcPr>
            <w:tcW w:w="4395" w:type="dxa"/>
          </w:tcPr>
          <w:p w14:paraId="58EA2846" w14:textId="77777777" w:rsidR="00126AE3" w:rsidRPr="0084450B" w:rsidRDefault="00126AE3" w:rsidP="00126AE3">
            <w:pPr>
              <w:rPr>
                <w:rFonts w:ascii="Franklin Gothic Book" w:hAnsi="Franklin Gothic Book"/>
                <w:b/>
                <w:lang w:val="en-AU"/>
              </w:rPr>
            </w:pPr>
            <w:r w:rsidRPr="0084450B">
              <w:rPr>
                <w:rFonts w:ascii="Franklin Gothic Book" w:hAnsi="Franklin Gothic Book"/>
                <w:b/>
                <w:lang w:val="en-AU"/>
              </w:rPr>
              <w:t>Evidence based teaching and learning</w:t>
            </w:r>
          </w:p>
          <w:p w14:paraId="2A17EE42" w14:textId="77777777" w:rsidR="00126AE3" w:rsidRPr="0084450B" w:rsidRDefault="00126AE3" w:rsidP="00126AE3">
            <w:pPr>
              <w:pStyle w:val="ListParagraph"/>
              <w:numPr>
                <w:ilvl w:val="0"/>
                <w:numId w:val="20"/>
              </w:numPr>
              <w:rPr>
                <w:rFonts w:ascii="Franklin Gothic Book" w:hAnsi="Franklin Gothic Book"/>
                <w:lang w:val="en-AU"/>
              </w:rPr>
            </w:pPr>
            <w:r w:rsidRPr="0084450B">
              <w:rPr>
                <w:rFonts w:ascii="Franklin Gothic Book" w:hAnsi="Franklin Gothic Book"/>
                <w:lang w:val="en-AU"/>
              </w:rPr>
              <w:t>Assessment for/of/as learning</w:t>
            </w:r>
          </w:p>
          <w:p w14:paraId="731C11DF" w14:textId="77777777" w:rsidR="00126AE3" w:rsidRPr="0084450B" w:rsidRDefault="00126AE3" w:rsidP="00126AE3">
            <w:pPr>
              <w:rPr>
                <w:rFonts w:ascii="Franklin Gothic Book" w:hAnsi="Franklin Gothic Book"/>
                <w:b/>
                <w:lang w:val="en-AU"/>
              </w:rPr>
            </w:pPr>
            <w:r w:rsidRPr="0084450B">
              <w:rPr>
                <w:rFonts w:ascii="Franklin Gothic Book" w:hAnsi="Franklin Gothic Book"/>
                <w:b/>
                <w:lang w:val="en-AU"/>
              </w:rPr>
              <w:t>Student empowerment and voice</w:t>
            </w:r>
          </w:p>
          <w:p w14:paraId="16E6852F" w14:textId="77777777" w:rsidR="00126AE3" w:rsidRPr="0084450B" w:rsidRDefault="00126AE3" w:rsidP="00126AE3">
            <w:pPr>
              <w:pStyle w:val="ListParagraph"/>
              <w:numPr>
                <w:ilvl w:val="0"/>
                <w:numId w:val="20"/>
              </w:numPr>
              <w:rPr>
                <w:rFonts w:ascii="Franklin Gothic Book" w:hAnsi="Franklin Gothic Book"/>
                <w:b/>
                <w:lang w:val="en-AU"/>
              </w:rPr>
            </w:pPr>
            <w:r w:rsidRPr="0084450B">
              <w:rPr>
                <w:rFonts w:ascii="Franklin Gothic Book" w:hAnsi="Franklin Gothic Book"/>
                <w:lang w:val="en-AU"/>
              </w:rPr>
              <w:t>Student driven learning</w:t>
            </w:r>
          </w:p>
          <w:p w14:paraId="6D1E6E84" w14:textId="24902894" w:rsidR="00126AE3" w:rsidRPr="0084450B" w:rsidRDefault="00126AE3" w:rsidP="00126AE3">
            <w:pPr>
              <w:rPr>
                <w:rFonts w:ascii="Franklin Gothic Book" w:hAnsi="Franklin Gothic Book"/>
                <w:b/>
                <w:lang w:val="en-AU"/>
              </w:rPr>
            </w:pPr>
            <w:r w:rsidRPr="0084450B">
              <w:rPr>
                <w:rFonts w:ascii="Franklin Gothic Book" w:hAnsi="Franklin Gothic Book"/>
                <w:lang w:val="en-AU"/>
              </w:rPr>
              <w:t>Maximise choice</w:t>
            </w:r>
          </w:p>
        </w:tc>
        <w:tc>
          <w:tcPr>
            <w:tcW w:w="3685" w:type="dxa"/>
          </w:tcPr>
          <w:p w14:paraId="4382BC35" w14:textId="3E7874E5" w:rsidR="00126AE3" w:rsidRPr="0084450B" w:rsidRDefault="00126AE3" w:rsidP="00D243AB">
            <w:pPr>
              <w:rPr>
                <w:rFonts w:ascii="Franklin Gothic Book" w:hAnsi="Franklin Gothic Book"/>
                <w:lang w:val="en-AU"/>
              </w:rPr>
            </w:pPr>
            <w:r w:rsidRPr="0084450B">
              <w:rPr>
                <w:rFonts w:ascii="Franklin Gothic Book" w:hAnsi="Franklin Gothic Book"/>
                <w:lang w:val="en-AU"/>
              </w:rPr>
              <w:t>The FLC Campus Coordinator and Youth Support Worker will complete the student’s enrolment and assess the student’s learning needs.</w:t>
            </w:r>
          </w:p>
        </w:tc>
      </w:tr>
    </w:tbl>
    <w:p w14:paraId="6E57AD0A" w14:textId="77777777" w:rsidR="007E7255" w:rsidRPr="0084450B" w:rsidRDefault="007E7255" w:rsidP="00030FE0">
      <w:pPr>
        <w:rPr>
          <w:sz w:val="22"/>
          <w:szCs w:val="22"/>
          <w:lang w:val="en-AU"/>
        </w:rPr>
      </w:pPr>
    </w:p>
    <w:p w14:paraId="0A97B36D" w14:textId="77777777" w:rsidR="007E7255" w:rsidRPr="0084450B" w:rsidRDefault="007E7255" w:rsidP="00126AE3">
      <w:pPr>
        <w:rPr>
          <w:sz w:val="22"/>
          <w:szCs w:val="22"/>
          <w:lang w:val="en-AU"/>
        </w:rPr>
      </w:pPr>
    </w:p>
    <w:sectPr w:rsidR="007E7255" w:rsidRPr="0084450B" w:rsidSect="007227CA">
      <w:headerReference w:type="first" r:id="rId27"/>
      <w:pgSz w:w="16840" w:h="11900" w:orient="landscape"/>
      <w:pgMar w:top="1342" w:right="2959"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A8571" w14:textId="77777777" w:rsidR="008D67B3" w:rsidRDefault="008D67B3" w:rsidP="00E8727F">
      <w:r>
        <w:separator/>
      </w:r>
    </w:p>
  </w:endnote>
  <w:endnote w:type="continuationSeparator" w:id="0">
    <w:p w14:paraId="4B2C9C4E" w14:textId="77777777" w:rsidR="008D67B3" w:rsidRDefault="008D67B3" w:rsidP="00E8727F">
      <w:r>
        <w:continuationSeparator/>
      </w:r>
    </w:p>
  </w:endnote>
  <w:endnote w:type="continuationNotice" w:id="1">
    <w:p w14:paraId="73CE29EF" w14:textId="77777777" w:rsidR="008D67B3" w:rsidRDefault="008D6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incho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HGGothicE">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E533" w14:textId="415F0471" w:rsidR="00380F1B" w:rsidRPr="00B5267E" w:rsidRDefault="00380F1B" w:rsidP="00B5267E">
    <w:pPr>
      <w:jc w:val="right"/>
    </w:pPr>
    <w:r w:rsidRPr="00B5267E">
      <w:t xml:space="preserve"> </w:t>
    </w:r>
    <w:r w:rsidRPr="00B5267E">
      <w:fldChar w:fldCharType="begin"/>
    </w:r>
    <w:r w:rsidRPr="00B5267E">
      <w:instrText xml:space="preserve"> PAGE </w:instrText>
    </w:r>
    <w:r w:rsidRPr="00B5267E">
      <w:fldChar w:fldCharType="separate"/>
    </w:r>
    <w:r w:rsidR="00DF380B">
      <w:rPr>
        <w:noProof/>
      </w:rPr>
      <w:t>- 8 -</w:t>
    </w:r>
    <w:r w:rsidRPr="00B5267E">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51EB" w14:textId="008E70FC" w:rsidR="00380F1B" w:rsidRDefault="00380F1B" w:rsidP="00313D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80B">
      <w:rPr>
        <w:rStyle w:val="PageNumber"/>
        <w:noProof/>
      </w:rPr>
      <w:t>- 4 -</w:t>
    </w:r>
    <w:r>
      <w:rPr>
        <w:rStyle w:val="PageNumber"/>
      </w:rPr>
      <w:fldChar w:fldCharType="end"/>
    </w:r>
  </w:p>
  <w:p w14:paraId="3DAAAFF7" w14:textId="55ACDEC5" w:rsidR="00380F1B" w:rsidRDefault="00380F1B"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B10B" w14:textId="77777777" w:rsidR="008D67B3" w:rsidRDefault="008D67B3" w:rsidP="00E8727F">
      <w:r>
        <w:separator/>
      </w:r>
    </w:p>
  </w:footnote>
  <w:footnote w:type="continuationSeparator" w:id="0">
    <w:p w14:paraId="6EE2A636" w14:textId="77777777" w:rsidR="008D67B3" w:rsidRDefault="008D67B3" w:rsidP="00E8727F">
      <w:r>
        <w:continuationSeparator/>
      </w:r>
    </w:p>
  </w:footnote>
  <w:footnote w:type="continuationNotice" w:id="1">
    <w:p w14:paraId="50B0E73F" w14:textId="77777777" w:rsidR="008D67B3" w:rsidRDefault="008D6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125A" w14:textId="77777777" w:rsidR="00380F1B" w:rsidRDefault="00380F1B">
    <w:pPr>
      <w:pStyle w:val="Header"/>
    </w:pPr>
    <w:r>
      <w:rPr>
        <w:noProof/>
        <w:lang w:val="en-AU" w:eastAsia="en-AU"/>
      </w:rPr>
      <w:drawing>
        <wp:anchor distT="0" distB="0" distL="114300" distR="114300" simplePos="0" relativeHeight="251658241" behindDoc="1" locked="0" layoutInCell="1" allowOverlap="1" wp14:anchorId="47D4532F" wp14:editId="37880000">
          <wp:simplePos x="0" y="0"/>
          <wp:positionH relativeFrom="page">
            <wp:posOffset>0</wp:posOffset>
          </wp:positionH>
          <wp:positionV relativeFrom="page">
            <wp:posOffset>0</wp:posOffset>
          </wp:positionV>
          <wp:extent cx="7545070" cy="1067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21"/>
      <w:tblpPr w:leftFromText="180" w:rightFromText="180" w:vertAnchor="page" w:horzAnchor="page" w:tblpX="4092" w:tblpY="1085"/>
      <w:tblW w:w="0" w:type="auto"/>
      <w:tblLook w:val="04A0" w:firstRow="1" w:lastRow="0" w:firstColumn="1" w:lastColumn="0" w:noHBand="0" w:noVBand="1"/>
    </w:tblPr>
    <w:tblGrid>
      <w:gridCol w:w="4111"/>
      <w:gridCol w:w="2693"/>
    </w:tblGrid>
    <w:tr w:rsidR="00380F1B" w14:paraId="75B1AE34"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651A545E" w14:textId="77777777" w:rsidR="00380F1B" w:rsidRPr="00660648" w:rsidRDefault="00380F1B"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3E239255" w14:textId="695094A1" w:rsidR="00380F1B" w:rsidRPr="00EB3E16" w:rsidRDefault="00DC1300"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380F1B" w14:paraId="518B436F"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3C74ED3D" w14:textId="77777777" w:rsidR="00380F1B" w:rsidRPr="00660648" w:rsidRDefault="00380F1B"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6CBE09CF" w14:textId="14174A09" w:rsidR="00380F1B" w:rsidRPr="00EB3E16" w:rsidRDefault="00DC1300" w:rsidP="00660648">
          <w:pPr>
            <w:pStyle w:val="Header"/>
            <w:cnfStyle w:val="000000100000" w:firstRow="0" w:lastRow="0" w:firstColumn="0" w:lastColumn="0" w:oddVBand="0" w:evenVBand="0" w:oddHBand="1" w:evenHBand="0" w:firstRowFirstColumn="0" w:firstRowLastColumn="0" w:lastRowFirstColumn="0" w:lastRowLastColumn="0"/>
          </w:pPr>
          <w:r>
            <w:t>2</w:t>
          </w:r>
        </w:p>
      </w:tc>
    </w:tr>
    <w:tr w:rsidR="00380F1B" w14:paraId="10BED88A"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66A6CF44" w14:textId="77777777" w:rsidR="00380F1B" w:rsidRPr="00660648" w:rsidRDefault="00380F1B"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286A4AA8" w14:textId="7F0D4587" w:rsidR="00380F1B" w:rsidRDefault="00DC1300" w:rsidP="00660648">
          <w:pPr>
            <w:pStyle w:val="Header"/>
            <w:cnfStyle w:val="000000000000" w:firstRow="0" w:lastRow="0" w:firstColumn="0" w:lastColumn="0" w:oddVBand="0" w:evenVBand="0" w:oddHBand="0" w:evenHBand="0" w:firstRowFirstColumn="0" w:firstRowLastColumn="0" w:lastRowFirstColumn="0" w:lastRowLastColumn="0"/>
          </w:pPr>
          <w:r>
            <w:t>2017</w:t>
          </w:r>
        </w:p>
      </w:tc>
    </w:tr>
    <w:tr w:rsidR="00380F1B" w14:paraId="64A6B3C0"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485E0E1" w14:textId="77777777" w:rsidR="00380F1B" w:rsidRPr="00660648" w:rsidRDefault="00380F1B"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1F10DACD" w14:textId="2184FFAF" w:rsidR="00380F1B" w:rsidRDefault="008E02EB" w:rsidP="00660648">
          <w:pPr>
            <w:pStyle w:val="Header"/>
            <w:cnfStyle w:val="000000100000" w:firstRow="0" w:lastRow="0" w:firstColumn="0" w:lastColumn="0" w:oddVBand="0" w:evenVBand="0" w:oddHBand="1" w:evenHBand="0" w:firstRowFirstColumn="0" w:firstRowLastColumn="0" w:lastRowFirstColumn="0" w:lastRowLastColumn="0"/>
          </w:pPr>
          <w:r>
            <w:t>December</w:t>
          </w:r>
          <w:r w:rsidR="00DC1300">
            <w:t xml:space="preserve"> 202</w:t>
          </w:r>
          <w:r>
            <w:t>1</w:t>
          </w:r>
        </w:p>
      </w:tc>
    </w:tr>
    <w:tr w:rsidR="00380F1B" w14:paraId="4BDC545A"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6A4ABF50" w14:textId="6BAF240C" w:rsidR="00380F1B" w:rsidRPr="00660648" w:rsidRDefault="00380F1B"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 xml:space="preserve">Date Endorsed by </w:t>
          </w:r>
          <w:r w:rsidR="00DC1300">
            <w:rPr>
              <w:rFonts w:ascii="Rockwell" w:hAnsi="Rockwell"/>
              <w:b w:val="0"/>
              <w:bCs w:val="0"/>
              <w:color w:val="0096DA" w:themeColor="background2"/>
            </w:rPr>
            <w:t>Principal</w:t>
          </w:r>
        </w:p>
      </w:tc>
      <w:tc>
        <w:tcPr>
          <w:tcW w:w="2693" w:type="dxa"/>
        </w:tcPr>
        <w:p w14:paraId="509A55D9" w14:textId="30B04323" w:rsidR="00380F1B" w:rsidRPr="00EB3E16" w:rsidRDefault="007273B2" w:rsidP="00660648">
          <w:pPr>
            <w:pStyle w:val="Header"/>
            <w:cnfStyle w:val="000000000000" w:firstRow="0" w:lastRow="0" w:firstColumn="0" w:lastColumn="0" w:oddVBand="0" w:evenVBand="0" w:oddHBand="0" w:evenHBand="0" w:firstRowFirstColumn="0" w:firstRowLastColumn="0" w:lastRowFirstColumn="0" w:lastRowLastColumn="0"/>
          </w:pPr>
          <w:r>
            <w:t>March 2022</w:t>
          </w:r>
        </w:p>
      </w:tc>
    </w:tr>
  </w:tbl>
  <w:p w14:paraId="5E9CD776" w14:textId="6D2E5040" w:rsidR="00380F1B" w:rsidRDefault="00380F1B">
    <w:pPr>
      <w:pStyle w:val="Header"/>
    </w:pPr>
    <w:r>
      <w:rPr>
        <w:noProof/>
        <w:lang w:val="en-AU" w:eastAsia="en-AU"/>
      </w:rPr>
      <w:drawing>
        <wp:anchor distT="0" distB="0" distL="114300" distR="114300" simplePos="0" relativeHeight="251658240" behindDoc="1" locked="0" layoutInCell="1" allowOverlap="1" wp14:anchorId="7774D63D" wp14:editId="584BE4FC">
          <wp:simplePos x="0" y="0"/>
          <wp:positionH relativeFrom="page">
            <wp:posOffset>12700</wp:posOffset>
          </wp:positionH>
          <wp:positionV relativeFrom="page">
            <wp:posOffset>0</wp:posOffset>
          </wp:positionV>
          <wp:extent cx="7534800" cy="10658096"/>
          <wp:effectExtent l="0" t="0" r="9525"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EA7F" w14:textId="32D61C4A" w:rsidR="00380F1B" w:rsidRDefault="008D67B3">
    <w:pPr>
      <w:pStyle w:val="Header"/>
    </w:pPr>
    <w:sdt>
      <w:sdtPr>
        <w:id w:val="520443614"/>
        <w:docPartObj>
          <w:docPartGallery w:val="Watermarks"/>
          <w:docPartUnique/>
        </w:docPartObj>
      </w:sdtPr>
      <w:sdtEndPr/>
      <w:sdtContent>
        <w:r w:rsidR="00126AE3">
          <w:rPr>
            <w:noProof/>
            <w:lang w:val="en-AU" w:eastAsia="en-AU"/>
          </w:rPr>
          <mc:AlternateContent>
            <mc:Choice Requires="wps">
              <w:drawing>
                <wp:anchor distT="0" distB="0" distL="114300" distR="114300" simplePos="0" relativeHeight="251658242" behindDoc="1" locked="0" layoutInCell="0" allowOverlap="1" wp14:anchorId="3371F463" wp14:editId="5691CF9A">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31289" w14:textId="77777777" w:rsidR="00126AE3" w:rsidRDefault="00126AE3" w:rsidP="00126AE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371F463"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C031289" w14:textId="77777777" w:rsidR="00126AE3" w:rsidRDefault="00126AE3" w:rsidP="00126AE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33E220E"/>
    <w:multiLevelType w:val="hybridMultilevel"/>
    <w:tmpl w:val="471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51EA2"/>
    <w:multiLevelType w:val="hybridMultilevel"/>
    <w:tmpl w:val="EA7C46A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8E1316"/>
    <w:multiLevelType w:val="hybridMultilevel"/>
    <w:tmpl w:val="AE82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137A2A"/>
    <w:multiLevelType w:val="hybridMultilevel"/>
    <w:tmpl w:val="43188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C256E"/>
    <w:multiLevelType w:val="hybridMultilevel"/>
    <w:tmpl w:val="4B4C0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D46212"/>
    <w:multiLevelType w:val="hybridMultilevel"/>
    <w:tmpl w:val="5DD661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900E3"/>
    <w:multiLevelType w:val="hybridMultilevel"/>
    <w:tmpl w:val="864EF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2C556E"/>
    <w:multiLevelType w:val="hybridMultilevel"/>
    <w:tmpl w:val="5B2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F75B7C"/>
    <w:multiLevelType w:val="hybridMultilevel"/>
    <w:tmpl w:val="B6708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DA0609"/>
    <w:multiLevelType w:val="hybridMultilevel"/>
    <w:tmpl w:val="4CF23970"/>
    <w:lvl w:ilvl="0" w:tplc="B19668A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393E62"/>
    <w:multiLevelType w:val="hybridMultilevel"/>
    <w:tmpl w:val="97D66B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B90F97"/>
    <w:multiLevelType w:val="hybridMultilevel"/>
    <w:tmpl w:val="85A219D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201B6C"/>
    <w:multiLevelType w:val="hybridMultilevel"/>
    <w:tmpl w:val="8C447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0E2CB5"/>
    <w:multiLevelType w:val="hybridMultilevel"/>
    <w:tmpl w:val="136C5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BF3EE3"/>
    <w:multiLevelType w:val="hybridMultilevel"/>
    <w:tmpl w:val="6900C032"/>
    <w:lvl w:ilvl="0" w:tplc="5532E43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519A50AA"/>
    <w:multiLevelType w:val="hybridMultilevel"/>
    <w:tmpl w:val="D9900EA8"/>
    <w:lvl w:ilvl="0" w:tplc="B19668A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02767E"/>
    <w:multiLevelType w:val="hybridMultilevel"/>
    <w:tmpl w:val="3E721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C06E91"/>
    <w:multiLevelType w:val="hybridMultilevel"/>
    <w:tmpl w:val="20F82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1835B7"/>
    <w:multiLevelType w:val="hybridMultilevel"/>
    <w:tmpl w:val="F15A8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740250"/>
    <w:multiLevelType w:val="hybridMultilevel"/>
    <w:tmpl w:val="C0C85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F23597"/>
    <w:multiLevelType w:val="hybridMultilevel"/>
    <w:tmpl w:val="3EACBC0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F22475"/>
    <w:multiLevelType w:val="hybridMultilevel"/>
    <w:tmpl w:val="BCA80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D84567"/>
    <w:multiLevelType w:val="hybridMultilevel"/>
    <w:tmpl w:val="8D36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32E4E"/>
    <w:multiLevelType w:val="multilevel"/>
    <w:tmpl w:val="5E6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B41058"/>
    <w:multiLevelType w:val="hybridMultilevel"/>
    <w:tmpl w:val="738ADF0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DC4923"/>
    <w:multiLevelType w:val="hybridMultilevel"/>
    <w:tmpl w:val="2EFE0EE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BD083F"/>
    <w:multiLevelType w:val="hybridMultilevel"/>
    <w:tmpl w:val="DBEC7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6813E0"/>
    <w:multiLevelType w:val="hybridMultilevel"/>
    <w:tmpl w:val="41604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AC407F"/>
    <w:multiLevelType w:val="hybridMultilevel"/>
    <w:tmpl w:val="27C6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1E34A2"/>
    <w:multiLevelType w:val="hybridMultilevel"/>
    <w:tmpl w:val="525C066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E4E59B2"/>
    <w:multiLevelType w:val="hybridMultilevel"/>
    <w:tmpl w:val="291A479A"/>
    <w:lvl w:ilvl="0" w:tplc="9BE8B1F8">
      <w:numFmt w:val="bullet"/>
      <w:lvlText w:val="•"/>
      <w:lvlJc w:val="left"/>
      <w:pPr>
        <w:ind w:left="1080" w:hanging="720"/>
      </w:pPr>
      <w:rPr>
        <w:rFonts w:ascii="Franklin Gothic Book" w:eastAsiaTheme="minorHAnsi" w:hAnsi="Franklin Gothic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27032"/>
    <w:multiLevelType w:val="hybridMultilevel"/>
    <w:tmpl w:val="D138CAB4"/>
    <w:lvl w:ilvl="0" w:tplc="F2424E4A">
      <w:start w:val="1"/>
      <w:numFmt w:val="decimal"/>
      <w:lvlText w:val="%1."/>
      <w:lvlJc w:val="left"/>
      <w:pPr>
        <w:ind w:left="1040" w:hanging="360"/>
      </w:pPr>
      <w:rPr>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18"/>
  </w:num>
  <w:num w:numId="10">
    <w:abstractNumId w:val="35"/>
  </w:num>
  <w:num w:numId="11">
    <w:abstractNumId w:val="29"/>
  </w:num>
  <w:num w:numId="12">
    <w:abstractNumId w:val="33"/>
  </w:num>
  <w:num w:numId="13">
    <w:abstractNumId w:val="9"/>
  </w:num>
  <w:num w:numId="14">
    <w:abstractNumId w:val="10"/>
  </w:num>
  <w:num w:numId="15">
    <w:abstractNumId w:val="21"/>
  </w:num>
  <w:num w:numId="16">
    <w:abstractNumId w:val="7"/>
  </w:num>
  <w:num w:numId="17">
    <w:abstractNumId w:val="4"/>
  </w:num>
  <w:num w:numId="18">
    <w:abstractNumId w:val="20"/>
  </w:num>
  <w:num w:numId="19">
    <w:abstractNumId w:val="26"/>
  </w:num>
  <w:num w:numId="20">
    <w:abstractNumId w:val="17"/>
  </w:num>
  <w:num w:numId="21">
    <w:abstractNumId w:val="23"/>
  </w:num>
  <w:num w:numId="22">
    <w:abstractNumId w:val="30"/>
  </w:num>
  <w:num w:numId="23">
    <w:abstractNumId w:val="11"/>
  </w:num>
  <w:num w:numId="24">
    <w:abstractNumId w:val="16"/>
  </w:num>
  <w:num w:numId="25">
    <w:abstractNumId w:val="34"/>
  </w:num>
  <w:num w:numId="26">
    <w:abstractNumId w:val="5"/>
  </w:num>
  <w:num w:numId="27">
    <w:abstractNumId w:val="22"/>
  </w:num>
  <w:num w:numId="28">
    <w:abstractNumId w:val="8"/>
  </w:num>
  <w:num w:numId="29">
    <w:abstractNumId w:val="19"/>
  </w:num>
  <w:num w:numId="30">
    <w:abstractNumId w:val="13"/>
  </w:num>
  <w:num w:numId="31">
    <w:abstractNumId w:val="14"/>
  </w:num>
  <w:num w:numId="32">
    <w:abstractNumId w:val="12"/>
  </w:num>
  <w:num w:numId="33">
    <w:abstractNumId w:val="32"/>
  </w:num>
  <w:num w:numId="34">
    <w:abstractNumId w:val="25"/>
  </w:num>
  <w:num w:numId="35">
    <w:abstractNumId w:val="27"/>
  </w:num>
  <w:num w:numId="36">
    <w:abstractNumId w:val="6"/>
  </w:num>
  <w:num w:numId="37">
    <w:abstractNumId w:val="31"/>
  </w:num>
  <w:num w:numId="38">
    <w:abstractNumId w:val="15"/>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210B7"/>
    <w:rsid w:val="00030FE0"/>
    <w:rsid w:val="0004187B"/>
    <w:rsid w:val="00054684"/>
    <w:rsid w:val="00067899"/>
    <w:rsid w:val="00074A0E"/>
    <w:rsid w:val="000A50EA"/>
    <w:rsid w:val="000C7787"/>
    <w:rsid w:val="00107077"/>
    <w:rsid w:val="00126AE3"/>
    <w:rsid w:val="001C4356"/>
    <w:rsid w:val="001D357C"/>
    <w:rsid w:val="001E2DDA"/>
    <w:rsid w:val="00241871"/>
    <w:rsid w:val="00244A4D"/>
    <w:rsid w:val="002859FD"/>
    <w:rsid w:val="002A2568"/>
    <w:rsid w:val="002B7903"/>
    <w:rsid w:val="002C1B8F"/>
    <w:rsid w:val="002C58FE"/>
    <w:rsid w:val="002D2BF5"/>
    <w:rsid w:val="002F072A"/>
    <w:rsid w:val="002F576C"/>
    <w:rsid w:val="00313D79"/>
    <w:rsid w:val="00380F1B"/>
    <w:rsid w:val="003A4743"/>
    <w:rsid w:val="003A71CF"/>
    <w:rsid w:val="003D659D"/>
    <w:rsid w:val="004255D2"/>
    <w:rsid w:val="00467D3B"/>
    <w:rsid w:val="00470A59"/>
    <w:rsid w:val="004713E7"/>
    <w:rsid w:val="00484D25"/>
    <w:rsid w:val="00495F00"/>
    <w:rsid w:val="004B7B7F"/>
    <w:rsid w:val="004C0A1E"/>
    <w:rsid w:val="004D5DC4"/>
    <w:rsid w:val="00516D18"/>
    <w:rsid w:val="005278EE"/>
    <w:rsid w:val="00572623"/>
    <w:rsid w:val="00573BF2"/>
    <w:rsid w:val="005829C4"/>
    <w:rsid w:val="005842AE"/>
    <w:rsid w:val="005C4004"/>
    <w:rsid w:val="005E1EAD"/>
    <w:rsid w:val="005E229A"/>
    <w:rsid w:val="005F0CF1"/>
    <w:rsid w:val="00632CC6"/>
    <w:rsid w:val="00651550"/>
    <w:rsid w:val="00660648"/>
    <w:rsid w:val="00677247"/>
    <w:rsid w:val="006B67DA"/>
    <w:rsid w:val="006D0790"/>
    <w:rsid w:val="006D33DF"/>
    <w:rsid w:val="006D5721"/>
    <w:rsid w:val="006D7C33"/>
    <w:rsid w:val="0070168C"/>
    <w:rsid w:val="007030E2"/>
    <w:rsid w:val="007227CA"/>
    <w:rsid w:val="007273B2"/>
    <w:rsid w:val="00795685"/>
    <w:rsid w:val="007A073C"/>
    <w:rsid w:val="007B157E"/>
    <w:rsid w:val="007B2B68"/>
    <w:rsid w:val="007E7255"/>
    <w:rsid w:val="007F16BF"/>
    <w:rsid w:val="0084450B"/>
    <w:rsid w:val="00882501"/>
    <w:rsid w:val="00891CFD"/>
    <w:rsid w:val="00893459"/>
    <w:rsid w:val="008B526D"/>
    <w:rsid w:val="008D67B3"/>
    <w:rsid w:val="008E02EB"/>
    <w:rsid w:val="008E0BF9"/>
    <w:rsid w:val="008E1BAE"/>
    <w:rsid w:val="009333C7"/>
    <w:rsid w:val="009353C5"/>
    <w:rsid w:val="009A12B4"/>
    <w:rsid w:val="009A7CED"/>
    <w:rsid w:val="009C741D"/>
    <w:rsid w:val="00A704D5"/>
    <w:rsid w:val="00A72768"/>
    <w:rsid w:val="00AA07BB"/>
    <w:rsid w:val="00AC0FE9"/>
    <w:rsid w:val="00AE60E4"/>
    <w:rsid w:val="00B5267E"/>
    <w:rsid w:val="00B823B9"/>
    <w:rsid w:val="00C12116"/>
    <w:rsid w:val="00C16AE2"/>
    <w:rsid w:val="00C17731"/>
    <w:rsid w:val="00C330A1"/>
    <w:rsid w:val="00C36EF0"/>
    <w:rsid w:val="00C9411C"/>
    <w:rsid w:val="00CB6EED"/>
    <w:rsid w:val="00D043B2"/>
    <w:rsid w:val="00D21219"/>
    <w:rsid w:val="00D34481"/>
    <w:rsid w:val="00D6200C"/>
    <w:rsid w:val="00DC1300"/>
    <w:rsid w:val="00DF380B"/>
    <w:rsid w:val="00E01DAC"/>
    <w:rsid w:val="00E2623D"/>
    <w:rsid w:val="00E42348"/>
    <w:rsid w:val="00E60055"/>
    <w:rsid w:val="00E67433"/>
    <w:rsid w:val="00E8249B"/>
    <w:rsid w:val="00E83DC9"/>
    <w:rsid w:val="00E854B7"/>
    <w:rsid w:val="00E8727F"/>
    <w:rsid w:val="00E9683E"/>
    <w:rsid w:val="00EB3E16"/>
    <w:rsid w:val="00EC3386"/>
    <w:rsid w:val="00EE0FE5"/>
    <w:rsid w:val="00EE11DD"/>
    <w:rsid w:val="00F218A8"/>
    <w:rsid w:val="00F550A0"/>
    <w:rsid w:val="00F57CCA"/>
    <w:rsid w:val="00F73E1A"/>
    <w:rsid w:val="00F8431F"/>
    <w:rsid w:val="00F84E44"/>
    <w:rsid w:val="00F9265A"/>
    <w:rsid w:val="00FA72CF"/>
    <w:rsid w:val="00FF5D34"/>
    <w:rsid w:val="00FF6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12ACE"/>
  <w14:defaultImageDpi w14:val="32767"/>
  <w15:docId w15:val="{A08290F5-4893-4EED-A536-6DD03A0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E8727F"/>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E8727F"/>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unhideWhenUsed/>
    <w:qFormat/>
    <w:rsid w:val="007A073C"/>
    <w:pPr>
      <w:keepNext/>
      <w:keepLines/>
      <w:spacing w:before="40"/>
      <w:outlineLvl w:val="3"/>
    </w:pPr>
    <w:rPr>
      <w:rFonts w:asciiTheme="majorHAnsi" w:eastAsiaTheme="majorEastAsia" w:hAnsiTheme="majorHAnsi" w:cstheme="majorBidi"/>
      <w:i/>
      <w:iCs/>
      <w:color w:val="006FA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2"/>
      </w:numPr>
      <w:contextualSpacing/>
    </w:pPr>
  </w:style>
  <w:style w:type="paragraph" w:styleId="ListBullet2">
    <w:name w:val="List Bullet 2"/>
    <w:basedOn w:val="Normal"/>
    <w:uiPriority w:val="99"/>
    <w:unhideWhenUsed/>
    <w:qFormat/>
    <w:rsid w:val="000A50EA"/>
    <w:pPr>
      <w:numPr>
        <w:numId w:val="4"/>
      </w:numPr>
      <w:contextualSpacing/>
    </w:pPr>
  </w:style>
  <w:style w:type="paragraph" w:styleId="ListNumber">
    <w:name w:val="List Number"/>
    <w:basedOn w:val="Normal"/>
    <w:uiPriority w:val="99"/>
    <w:unhideWhenUsed/>
    <w:qFormat/>
    <w:rsid w:val="000A50EA"/>
    <w:pPr>
      <w:numPr>
        <w:numId w:val="6"/>
      </w:numPr>
      <w:contextualSpacing/>
    </w:pPr>
  </w:style>
  <w:style w:type="paragraph" w:styleId="ListNumber2">
    <w:name w:val="List Number 2"/>
    <w:basedOn w:val="ListNumber"/>
    <w:uiPriority w:val="99"/>
    <w:unhideWhenUsed/>
    <w:qFormat/>
    <w:rsid w:val="000A50EA"/>
    <w:pPr>
      <w:numPr>
        <w:numId w:val="8"/>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character" w:styleId="Hyperlink">
    <w:name w:val="Hyperlink"/>
    <w:basedOn w:val="DefaultParagraphFont"/>
    <w:uiPriority w:val="99"/>
    <w:unhideWhenUsed/>
    <w:rsid w:val="00F57CCA"/>
    <w:rPr>
      <w:color w:val="0563C1" w:themeColor="hyperlink"/>
      <w:u w:val="single"/>
    </w:rPr>
  </w:style>
  <w:style w:type="paragraph" w:styleId="NormalWeb">
    <w:name w:val="Normal (Web)"/>
    <w:basedOn w:val="Normal"/>
    <w:uiPriority w:val="99"/>
    <w:rsid w:val="00F57CCA"/>
    <w:pPr>
      <w:spacing w:beforeLines="1" w:afterLines="1"/>
    </w:pPr>
    <w:rPr>
      <w:rFonts w:ascii="Times" w:eastAsia="Times New Roman" w:hAnsi="Times" w:cs="Times New Roman"/>
      <w:sz w:val="20"/>
      <w:szCs w:val="20"/>
      <w:lang w:val="en-AU"/>
    </w:rPr>
  </w:style>
  <w:style w:type="character" w:styleId="Emphasis">
    <w:name w:val="Emphasis"/>
    <w:basedOn w:val="DefaultParagraphFont"/>
    <w:uiPriority w:val="20"/>
    <w:qFormat/>
    <w:rsid w:val="00F57CCA"/>
    <w:rPr>
      <w:b w:val="0"/>
      <w:bCs w:val="0"/>
      <w:i/>
      <w:iCs/>
    </w:rPr>
  </w:style>
  <w:style w:type="paragraph" w:styleId="TOCHeading">
    <w:name w:val="TOC Heading"/>
    <w:basedOn w:val="Heading1"/>
    <w:next w:val="Normal"/>
    <w:uiPriority w:val="39"/>
    <w:unhideWhenUsed/>
    <w:qFormat/>
    <w:rsid w:val="00F57CCA"/>
    <w:pPr>
      <w:spacing w:line="259" w:lineRule="auto"/>
      <w:outlineLvl w:val="9"/>
    </w:pPr>
    <w:rPr>
      <w:rFonts w:asciiTheme="majorHAnsi" w:hAnsiTheme="majorHAnsi"/>
    </w:rPr>
  </w:style>
  <w:style w:type="paragraph" w:styleId="TOC1">
    <w:name w:val="toc 1"/>
    <w:basedOn w:val="Normal"/>
    <w:next w:val="Normal"/>
    <w:autoRedefine/>
    <w:uiPriority w:val="39"/>
    <w:unhideWhenUsed/>
    <w:rsid w:val="00F57CCA"/>
    <w:pPr>
      <w:spacing w:after="100"/>
    </w:pPr>
  </w:style>
  <w:style w:type="paragraph" w:styleId="TOC2">
    <w:name w:val="toc 2"/>
    <w:basedOn w:val="Normal"/>
    <w:next w:val="Normal"/>
    <w:autoRedefine/>
    <w:uiPriority w:val="39"/>
    <w:unhideWhenUsed/>
    <w:rsid w:val="00F57CCA"/>
    <w:pPr>
      <w:spacing w:after="100"/>
      <w:ind w:left="240"/>
    </w:pPr>
  </w:style>
  <w:style w:type="paragraph" w:styleId="BalloonText">
    <w:name w:val="Balloon Text"/>
    <w:basedOn w:val="Normal"/>
    <w:link w:val="BalloonTextChar"/>
    <w:uiPriority w:val="99"/>
    <w:semiHidden/>
    <w:unhideWhenUsed/>
    <w:rsid w:val="00313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D79"/>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313D79"/>
    <w:rPr>
      <w:sz w:val="18"/>
      <w:szCs w:val="18"/>
    </w:rPr>
  </w:style>
  <w:style w:type="paragraph" w:styleId="CommentText">
    <w:name w:val="annotation text"/>
    <w:basedOn w:val="Normal"/>
    <w:link w:val="CommentTextChar"/>
    <w:uiPriority w:val="99"/>
    <w:semiHidden/>
    <w:unhideWhenUsed/>
    <w:rsid w:val="00313D79"/>
  </w:style>
  <w:style w:type="character" w:customStyle="1" w:styleId="CommentTextChar">
    <w:name w:val="Comment Text Char"/>
    <w:basedOn w:val="DefaultParagraphFont"/>
    <w:link w:val="CommentText"/>
    <w:uiPriority w:val="99"/>
    <w:semiHidden/>
    <w:rsid w:val="00313D79"/>
    <w:rPr>
      <w:lang w:val="en-US"/>
    </w:rPr>
  </w:style>
  <w:style w:type="paragraph" w:styleId="CommentSubject">
    <w:name w:val="annotation subject"/>
    <w:basedOn w:val="CommentText"/>
    <w:next w:val="CommentText"/>
    <w:link w:val="CommentSubjectChar"/>
    <w:uiPriority w:val="99"/>
    <w:semiHidden/>
    <w:unhideWhenUsed/>
    <w:rsid w:val="00313D79"/>
    <w:rPr>
      <w:b/>
      <w:bCs/>
      <w:sz w:val="20"/>
      <w:szCs w:val="20"/>
    </w:rPr>
  </w:style>
  <w:style w:type="character" w:customStyle="1" w:styleId="CommentSubjectChar">
    <w:name w:val="Comment Subject Char"/>
    <w:basedOn w:val="CommentTextChar"/>
    <w:link w:val="CommentSubject"/>
    <w:uiPriority w:val="99"/>
    <w:semiHidden/>
    <w:rsid w:val="00313D79"/>
    <w:rPr>
      <w:b/>
      <w:bCs/>
      <w:sz w:val="20"/>
      <w:szCs w:val="20"/>
      <w:lang w:val="en-US"/>
    </w:rPr>
  </w:style>
  <w:style w:type="paragraph" w:styleId="Revision">
    <w:name w:val="Revision"/>
    <w:hidden/>
    <w:uiPriority w:val="99"/>
    <w:semiHidden/>
    <w:rsid w:val="00677247"/>
    <w:rPr>
      <w:lang w:val="en-US"/>
    </w:rPr>
  </w:style>
  <w:style w:type="character" w:styleId="UnresolvedMention">
    <w:name w:val="Unresolved Mention"/>
    <w:basedOn w:val="DefaultParagraphFont"/>
    <w:uiPriority w:val="99"/>
    <w:semiHidden/>
    <w:unhideWhenUsed/>
    <w:rsid w:val="007B157E"/>
    <w:rPr>
      <w:color w:val="605E5C"/>
      <w:shd w:val="clear" w:color="auto" w:fill="E1DFDD"/>
    </w:rPr>
  </w:style>
  <w:style w:type="character" w:customStyle="1" w:styleId="Heading4Char">
    <w:name w:val="Heading 4 Char"/>
    <w:basedOn w:val="DefaultParagraphFont"/>
    <w:link w:val="Heading4"/>
    <w:uiPriority w:val="9"/>
    <w:rsid w:val="007A073C"/>
    <w:rPr>
      <w:rFonts w:asciiTheme="majorHAnsi" w:eastAsiaTheme="majorEastAsia" w:hAnsiTheme="majorHAnsi" w:cstheme="majorBidi"/>
      <w:i/>
      <w:iCs/>
      <w:color w:val="006FA3" w:themeColor="accent1" w:themeShade="BF"/>
      <w:lang w:val="en-US"/>
    </w:rPr>
  </w:style>
  <w:style w:type="paragraph" w:styleId="TOC3">
    <w:name w:val="toc 3"/>
    <w:basedOn w:val="Normal"/>
    <w:next w:val="Normal"/>
    <w:autoRedefine/>
    <w:uiPriority w:val="39"/>
    <w:unhideWhenUsed/>
    <w:rsid w:val="00D6200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2486">
      <w:bodyDiv w:val="1"/>
      <w:marLeft w:val="0"/>
      <w:marRight w:val="0"/>
      <w:marTop w:val="0"/>
      <w:marBottom w:val="0"/>
      <w:divBdr>
        <w:top w:val="none" w:sz="0" w:space="0" w:color="auto"/>
        <w:left w:val="none" w:sz="0" w:space="0" w:color="auto"/>
        <w:bottom w:val="none" w:sz="0" w:space="0" w:color="auto"/>
        <w:right w:val="none" w:sz="0" w:space="0" w:color="auto"/>
      </w:divBdr>
    </w:div>
    <w:div w:id="1504392756">
      <w:bodyDiv w:val="1"/>
      <w:marLeft w:val="0"/>
      <w:marRight w:val="0"/>
      <w:marTop w:val="0"/>
      <w:marBottom w:val="0"/>
      <w:divBdr>
        <w:top w:val="none" w:sz="0" w:space="0" w:color="auto"/>
        <w:left w:val="none" w:sz="0" w:space="0" w:color="auto"/>
        <w:bottom w:val="none" w:sz="0" w:space="0" w:color="auto"/>
        <w:right w:val="none" w:sz="0" w:space="0" w:color="auto"/>
      </w:divBdr>
    </w:div>
    <w:div w:id="1535389543">
      <w:bodyDiv w:val="1"/>
      <w:marLeft w:val="0"/>
      <w:marRight w:val="0"/>
      <w:marTop w:val="0"/>
      <w:marBottom w:val="0"/>
      <w:divBdr>
        <w:top w:val="none" w:sz="0" w:space="0" w:color="auto"/>
        <w:left w:val="none" w:sz="0" w:space="0" w:color="auto"/>
        <w:bottom w:val="none" w:sz="0" w:space="0" w:color="auto"/>
        <w:right w:val="none" w:sz="0" w:space="0" w:color="auto"/>
      </w:divBdr>
    </w:div>
    <w:div w:id="173797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hhs.vic.gov.au/" TargetMode="External"/><Relationship Id="rId18" Type="http://schemas.openxmlformats.org/officeDocument/2006/relationships/hyperlink" Target="https://www2.education.vic.gov.au/pal/enrolment/guidance/placement-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2.education.vic.gov.au/pal/exemption-school-attendance-and-enrolment" TargetMode="External"/><Relationship Id="rId7" Type="http://schemas.openxmlformats.org/officeDocument/2006/relationships/styles" Target="styles.xml"/><Relationship Id="rId12" Type="http://schemas.openxmlformats.org/officeDocument/2006/relationships/hyperlink" Target="https://www.justice.vic.gov.au/" TargetMode="External"/><Relationship Id="rId17" Type="http://schemas.openxmlformats.org/officeDocument/2006/relationships/hyperlink" Target="https://www2.education.vic.gov.au/pal/enrolment/guidance/concurrent-enrolment-process-youth-justice-and-secure-welfa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2.education.vic.gov.au/pal/enrolment/guidance/concurrent-enrolment-process-youth-justice-and-secure-welfare" TargetMode="External"/><Relationship Id="rId20" Type="http://schemas.openxmlformats.org/officeDocument/2006/relationships/hyperlink" Target="https://www2.education.vic.gov.au/pal/enrolment/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legislation.vic.gov.au/in-force/statutory-rules/education-and-training-reform-regulations-2017"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wvr@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in-force/acts/education-and-training-reform-act-2006" TargetMode="External"/><Relationship Id="rId22" Type="http://schemas.openxmlformats.org/officeDocument/2006/relationships/hyperlink" Target="https://www.education.vic.gov.au/Pages/schoolsprivacypolicy.aspx"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ET_EDRMS_SecClassTaxHTField0 xmlns="http://schemas.microsoft.com/Sharepoint/v3">
      <Terms xmlns="http://schemas.microsoft.com/office/infopath/2007/PartnerControls"/>
    </DET_EDRMS_SecClassTaxHTField0>
    <DET_EDRMS_RCSTaxHTField0 xmlns="http://schemas.microsoft.com/Sharepoint/v3">
      <Terms xmlns="http://schemas.microsoft.com/office/infopath/2007/PartnerControls"/>
    </DET_EDRMS_RCSTaxHTField0>
    <DET_EDRMS_BusUnitTaxHTField0 xmlns="http://schemas.microsoft.com/Sharepoint/v3">
      <Terms xmlns="http://schemas.microsoft.com/office/infopath/2007/PartnerControls"/>
    </DET_EDRMS_BusUnit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33723EBF54B51E40ACE5801743F273EA" ma:contentTypeVersion="4" ma:contentTypeDescription="DET Document" ma:contentTypeScope="" ma:versionID="d38eb323f3dd63732a0e480a15147ae5">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7f59b1e716dc9ead412bb9cd9d2ecd40"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5035A-BCDF-4D24-9A73-10F8CC90DE42}">
  <ds:schemaRefs>
    <ds:schemaRef ds:uri="http://schemas.microsoft.com/sharepoint/events"/>
  </ds:schemaRefs>
</ds:datastoreItem>
</file>

<file path=customXml/itemProps2.xml><?xml version="1.0" encoding="utf-8"?>
<ds:datastoreItem xmlns:ds="http://schemas.openxmlformats.org/officeDocument/2006/customXml" ds:itemID="{7A0C9D53-5E18-468A-B8E3-19E2BCA6BC07}">
  <ds:schemaRefs>
    <ds:schemaRef ds:uri="http://schemas.microsoft.com/sharepoint/v3/contenttype/forms"/>
  </ds:schemaRefs>
</ds:datastoreItem>
</file>

<file path=customXml/itemProps3.xml><?xml version="1.0" encoding="utf-8"?>
<ds:datastoreItem xmlns:ds="http://schemas.openxmlformats.org/officeDocument/2006/customXml" ds:itemID="{EC74983F-7DAE-4013-A9DA-063FB4FBF5AB}">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9CA7127F-378C-4DB2-9B1F-227DBA21CECF}">
  <ds:schemaRefs>
    <ds:schemaRef ds:uri="http://schemas.openxmlformats.org/officeDocument/2006/bibliography"/>
  </ds:schemaRefs>
</ds:datastoreItem>
</file>

<file path=customXml/itemProps5.xml><?xml version="1.0" encoding="utf-8"?>
<ds:datastoreItem xmlns:ds="http://schemas.openxmlformats.org/officeDocument/2006/customXml" ds:itemID="{5D486660-9251-4D3A-B3BA-ACE5F6CC0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2</cp:revision>
  <cp:lastPrinted>2021-11-30T04:06:00Z</cp:lastPrinted>
  <dcterms:created xsi:type="dcterms:W3CDTF">2022-03-04T03:00:00Z</dcterms:created>
  <dcterms:modified xsi:type="dcterms:W3CDTF">2022-03-04T03:00:00Z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0x010100C1A95F885C0B4A62AE4D0515D220750C0033723EBF54B51E40ACE5801743F273EA</vt:lpwstr>
  </property>
  <property fmtid="{D5CDD505-2E9C-101B-9397-08002B2CF9AE}" pid="3" name="DocumentSetDescription">
    <vt:lpwstr>Parkville College</vt:lpwstr>
  </property>
  <property fmtid="{D5CDD505-2E9C-101B-9397-08002B2CF9AE}" pid="4" name="Conversation">
    <vt:lpwstr/>
  </property>
  <property fmtid="{D5CDD505-2E9C-101B-9397-08002B2CF9AE}" pid="5" name="Order">
    <vt:r8>131500</vt:r8>
  </property>
  <property fmtid="{D5CDD505-2E9C-101B-9397-08002B2CF9AE}" pid="6" name="URL">
    <vt:lpwstr/>
  </property>
  <property fmtid="{D5CDD505-2E9C-101B-9397-08002B2CF9AE}" pid="7" name="Cc">
    <vt:lpwstr/>
  </property>
  <property fmtid="{D5CDD505-2E9C-101B-9397-08002B2CF9AE}" pid="8" name="From1">
    <vt:lpwstr/>
  </property>
  <property fmtid="{D5CDD505-2E9C-101B-9397-08002B2CF9AE}" pid="9" name="xd_ProgID">
    <vt:lpwstr/>
  </property>
  <property fmtid="{D5CDD505-2E9C-101B-9397-08002B2CF9AE}" pid="10" name="Attachment">
    <vt:bool>false</vt:bool>
  </property>
  <property fmtid="{D5CDD505-2E9C-101B-9397-08002B2CF9AE}" pid="11" name="TemplateUrl">
    <vt:lpwstr/>
  </property>
  <property fmtid="{D5CDD505-2E9C-101B-9397-08002B2CF9AE}" pid="12" name="To">
    <vt:lpwstr/>
  </property>
  <property fmtid="{D5CDD505-2E9C-101B-9397-08002B2CF9AE}" pid="13" name="Email Categories">
    <vt:lpwstr/>
  </property>
  <property fmtid="{D5CDD505-2E9C-101B-9397-08002B2CF9AE}" pid="14" name="IconOverlay">
    <vt:lpwstr/>
  </property>
  <property fmtid="{D5CDD505-2E9C-101B-9397-08002B2CF9AE}" pid="15" name="Bcc">
    <vt:lpwstr/>
  </property>
  <property fmtid="{D5CDD505-2E9C-101B-9397-08002B2CF9AE}" pid="16" name="Email Subject">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ies>
</file>